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2E" w:rsidRPr="00A850DF" w:rsidRDefault="00AB752E" w:rsidP="00A850DF">
      <w:pPr>
        <w:spacing w:line="360" w:lineRule="auto"/>
        <w:jc w:val="both"/>
        <w:rPr>
          <w:b/>
          <w:sz w:val="48"/>
          <w:szCs w:val="48"/>
          <w:u w:val="single"/>
        </w:rPr>
      </w:pPr>
      <w:r w:rsidRPr="00A850DF">
        <w:rPr>
          <w:b/>
          <w:sz w:val="48"/>
          <w:szCs w:val="48"/>
          <w:u w:val="single"/>
        </w:rPr>
        <w:t>15CA-CB: Overview</w:t>
      </w:r>
    </w:p>
    <w:p w:rsidR="008B610E" w:rsidRDefault="008B610E" w:rsidP="00A850DF">
      <w:pPr>
        <w:spacing w:line="360" w:lineRule="auto"/>
        <w:jc w:val="both"/>
        <w:rPr>
          <w:b/>
          <w:u w:val="single"/>
        </w:rPr>
      </w:pPr>
      <w:r w:rsidRPr="008B610E">
        <w:rPr>
          <w:b/>
          <w:u w:val="single"/>
        </w:rPr>
        <w:t>Governing Section: Section 195 (6) of the Income Tax Act, 1961 read will Rule 37BB of the Income Tax Rules</w:t>
      </w:r>
    </w:p>
    <w:p w:rsidR="008B610E" w:rsidRDefault="004C0131" w:rsidP="00A850DF">
      <w:pPr>
        <w:spacing w:line="360" w:lineRule="auto"/>
        <w:jc w:val="both"/>
      </w:pPr>
      <w:r w:rsidRPr="00031A53">
        <w:rPr>
          <w:b/>
        </w:rPr>
        <w:t>Section 195 (6)</w:t>
      </w:r>
      <w:r>
        <w:t xml:space="preserve"> requires the person responsible</w:t>
      </w:r>
      <w:r w:rsidRPr="004C0131">
        <w:t xml:space="preserve"> for paying to a non-resident, not being a company, or to a foreign company, any sum, whether or not chargeable under the provisions of this Act, </w:t>
      </w:r>
      <w:r>
        <w:t>to</w:t>
      </w:r>
      <w:r w:rsidRPr="004C0131">
        <w:t xml:space="preserve"> furnish the information relating to payment of such sum, in such form and manner, as may be prescribed.</w:t>
      </w:r>
      <w:r>
        <w:t xml:space="preserve"> </w:t>
      </w:r>
    </w:p>
    <w:p w:rsidR="004C0131" w:rsidRPr="004C0131" w:rsidRDefault="004C0131" w:rsidP="00A850DF">
      <w:pPr>
        <w:spacing w:line="360" w:lineRule="auto"/>
        <w:jc w:val="both"/>
      </w:pPr>
      <w:r w:rsidRPr="00031A53">
        <w:rPr>
          <w:b/>
        </w:rPr>
        <w:t>Rule 37BB</w:t>
      </w:r>
      <w:r>
        <w:t xml:space="preserve"> states that a</w:t>
      </w:r>
      <w:r w:rsidRPr="004C0131">
        <w:t>ny person responsible for paying to a non-resident, not being a company, or to a foreign company, any interest or salary or any other sum chargeable to tax under the provisions of the Act, shall furnish the following, namely:—</w:t>
      </w:r>
    </w:p>
    <w:tbl>
      <w:tblPr>
        <w:tblW w:w="9274" w:type="dxa"/>
        <w:tblCellSpacing w:w="15" w:type="dxa"/>
        <w:tblInd w:w="28" w:type="dxa"/>
        <w:shd w:val="clear" w:color="auto" w:fill="FFFFFF"/>
        <w:tblCellMar>
          <w:top w:w="15" w:type="dxa"/>
          <w:left w:w="15" w:type="dxa"/>
          <w:bottom w:w="15" w:type="dxa"/>
          <w:right w:w="15" w:type="dxa"/>
        </w:tblCellMar>
        <w:tblLook w:val="04A0"/>
      </w:tblPr>
      <w:tblGrid>
        <w:gridCol w:w="634"/>
        <w:gridCol w:w="110"/>
        <w:gridCol w:w="30"/>
        <w:gridCol w:w="413"/>
        <w:gridCol w:w="110"/>
        <w:gridCol w:w="7977"/>
      </w:tblGrid>
      <w:tr w:rsidR="004C0131" w:rsidRPr="004C0131" w:rsidTr="00354B63">
        <w:trPr>
          <w:tblCellSpacing w:w="15" w:type="dxa"/>
        </w:trPr>
        <w:tc>
          <w:tcPr>
            <w:tcW w:w="589" w:type="dxa"/>
            <w:shd w:val="clear" w:color="auto" w:fill="FFFFFF"/>
            <w:noWrap/>
            <w:hideMark/>
          </w:tcPr>
          <w:p w:rsidR="004C0131" w:rsidRPr="004C0131" w:rsidRDefault="004C0131" w:rsidP="009A1BCA">
            <w:pPr>
              <w:jc w:val="both"/>
            </w:pPr>
            <w:r w:rsidRPr="004C0131">
              <w:t>(</w:t>
            </w:r>
            <w:proofErr w:type="spellStart"/>
            <w:r w:rsidRPr="004C0131">
              <w:t>i</w:t>
            </w:r>
            <w:proofErr w:type="spellEnd"/>
            <w:r w:rsidRPr="004C0131">
              <w:t>)</w:t>
            </w:r>
          </w:p>
        </w:tc>
        <w:tc>
          <w:tcPr>
            <w:tcW w:w="0" w:type="auto"/>
            <w:shd w:val="clear" w:color="auto" w:fill="FFFFFF"/>
            <w:hideMark/>
          </w:tcPr>
          <w:p w:rsidR="004C0131" w:rsidRPr="004C0131" w:rsidRDefault="004C0131" w:rsidP="009A1BCA">
            <w:pPr>
              <w:jc w:val="both"/>
            </w:pPr>
            <w:r w:rsidRPr="004C0131">
              <w:t> </w:t>
            </w:r>
          </w:p>
        </w:tc>
        <w:tc>
          <w:tcPr>
            <w:tcW w:w="8485" w:type="dxa"/>
            <w:gridSpan w:val="4"/>
            <w:shd w:val="clear" w:color="auto" w:fill="FFFFFF"/>
            <w:hideMark/>
          </w:tcPr>
          <w:p w:rsidR="004C0131" w:rsidRPr="004C0131" w:rsidRDefault="004C0131" w:rsidP="009A1BCA">
            <w:pPr>
              <w:jc w:val="both"/>
            </w:pPr>
            <w:r w:rsidRPr="004C0131">
              <w:t xml:space="preserve">the information in </w:t>
            </w:r>
            <w:r w:rsidRPr="004C0131">
              <w:rPr>
                <w:b/>
              </w:rPr>
              <w:t>Part A</w:t>
            </w:r>
            <w:r w:rsidRPr="004C0131">
              <w:t xml:space="preserve"> of </w:t>
            </w:r>
            <w:r w:rsidRPr="004C0131">
              <w:rPr>
                <w:b/>
              </w:rPr>
              <w:t>Form No.15CA</w:t>
            </w:r>
            <w:r w:rsidRPr="004C0131">
              <w:t>, if the amount of payment does not exceed</w:t>
            </w:r>
            <w:r w:rsidR="00354B63">
              <w:t xml:space="preserve"> </w:t>
            </w:r>
            <w:r w:rsidR="00354B63" w:rsidRPr="00354B63">
              <w:rPr>
                <w:b/>
              </w:rPr>
              <w:t>INR 50,000 (</w:t>
            </w:r>
            <w:r w:rsidRPr="00354B63">
              <w:rPr>
                <w:b/>
              </w:rPr>
              <w:t>fifty thousand rupees</w:t>
            </w:r>
            <w:r w:rsidR="00354B63" w:rsidRPr="00354B63">
              <w:rPr>
                <w:b/>
              </w:rPr>
              <w:t>)</w:t>
            </w:r>
            <w:r w:rsidRPr="004C0131">
              <w:t xml:space="preserve"> and the aggregate of such payments made during the financial year does not exceed</w:t>
            </w:r>
            <w:r w:rsidR="00354B63">
              <w:t xml:space="preserve"> </w:t>
            </w:r>
            <w:r w:rsidR="00354B63" w:rsidRPr="00354B63">
              <w:rPr>
                <w:b/>
              </w:rPr>
              <w:t>INR 2,50,000</w:t>
            </w:r>
            <w:r w:rsidRPr="00354B63">
              <w:rPr>
                <w:b/>
              </w:rPr>
              <w:t xml:space="preserve"> </w:t>
            </w:r>
            <w:r w:rsidR="00354B63" w:rsidRPr="00354B63">
              <w:rPr>
                <w:b/>
              </w:rPr>
              <w:t>(</w:t>
            </w:r>
            <w:r w:rsidRPr="00354B63">
              <w:rPr>
                <w:b/>
              </w:rPr>
              <w:t xml:space="preserve">two </w:t>
            </w:r>
            <w:proofErr w:type="spellStart"/>
            <w:r w:rsidRPr="00354B63">
              <w:rPr>
                <w:b/>
              </w:rPr>
              <w:t>lakh</w:t>
            </w:r>
            <w:proofErr w:type="spellEnd"/>
            <w:r w:rsidRPr="00354B63">
              <w:rPr>
                <w:b/>
              </w:rPr>
              <w:t xml:space="preserve"> fifty thousand rupees</w:t>
            </w:r>
            <w:r w:rsidR="00354B63" w:rsidRPr="00354B63">
              <w:rPr>
                <w:b/>
              </w:rPr>
              <w:t>)</w:t>
            </w:r>
            <w:r w:rsidRPr="004C0131">
              <w:t>;</w:t>
            </w:r>
          </w:p>
        </w:tc>
      </w:tr>
      <w:tr w:rsidR="004C0131" w:rsidRPr="004C0131" w:rsidTr="00354B63">
        <w:trPr>
          <w:tblCellSpacing w:w="15" w:type="dxa"/>
        </w:trPr>
        <w:tc>
          <w:tcPr>
            <w:tcW w:w="589" w:type="dxa"/>
            <w:shd w:val="clear" w:color="auto" w:fill="FFFFFF"/>
            <w:noWrap/>
            <w:hideMark/>
          </w:tcPr>
          <w:p w:rsidR="004C0131" w:rsidRPr="004C0131" w:rsidRDefault="004C0131" w:rsidP="009A1BCA">
            <w:pPr>
              <w:jc w:val="both"/>
            </w:pPr>
            <w:r w:rsidRPr="004C0131">
              <w:t>(ii)</w:t>
            </w:r>
          </w:p>
        </w:tc>
        <w:tc>
          <w:tcPr>
            <w:tcW w:w="0" w:type="auto"/>
            <w:shd w:val="clear" w:color="auto" w:fill="FFFFFF"/>
            <w:hideMark/>
          </w:tcPr>
          <w:p w:rsidR="004C0131" w:rsidRPr="004C0131" w:rsidRDefault="004C0131" w:rsidP="009A1BCA">
            <w:pPr>
              <w:jc w:val="both"/>
            </w:pPr>
            <w:r w:rsidRPr="004C0131">
              <w:t> </w:t>
            </w:r>
          </w:p>
        </w:tc>
        <w:tc>
          <w:tcPr>
            <w:tcW w:w="8485" w:type="dxa"/>
            <w:gridSpan w:val="4"/>
            <w:shd w:val="clear" w:color="auto" w:fill="FFFFFF"/>
            <w:hideMark/>
          </w:tcPr>
          <w:p w:rsidR="004C0131" w:rsidRPr="004C0131" w:rsidRDefault="004C0131" w:rsidP="009A1BCA">
            <w:pPr>
              <w:jc w:val="both"/>
            </w:pPr>
            <w:r w:rsidRPr="004C0131">
              <w:t xml:space="preserve">the information in </w:t>
            </w:r>
            <w:r w:rsidRPr="00031A53">
              <w:rPr>
                <w:b/>
              </w:rPr>
              <w:t>Part B</w:t>
            </w:r>
            <w:r w:rsidRPr="004C0131">
              <w:t xml:space="preserve"> of </w:t>
            </w:r>
            <w:r w:rsidRPr="00031A53">
              <w:rPr>
                <w:b/>
              </w:rPr>
              <w:t>Form No.15CA</w:t>
            </w:r>
            <w:r w:rsidRPr="004C0131">
              <w:t xml:space="preserve"> for payments </w:t>
            </w:r>
            <w:r w:rsidRPr="00031A53">
              <w:rPr>
                <w:b/>
              </w:rPr>
              <w:t>other than the payments referred in clause (</w:t>
            </w:r>
            <w:proofErr w:type="spellStart"/>
            <w:r w:rsidRPr="00031A53">
              <w:rPr>
                <w:b/>
              </w:rPr>
              <w:t>i</w:t>
            </w:r>
            <w:proofErr w:type="spellEnd"/>
            <w:r w:rsidRPr="00031A53">
              <w:rPr>
                <w:b/>
              </w:rPr>
              <w:t>)</w:t>
            </w:r>
            <w:r w:rsidRPr="004C0131">
              <w:t xml:space="preserve"> after obtaining—</w:t>
            </w:r>
          </w:p>
        </w:tc>
      </w:tr>
      <w:tr w:rsidR="004C0131" w:rsidRPr="004C0131" w:rsidTr="00354B63">
        <w:trPr>
          <w:gridBefore w:val="3"/>
          <w:wBefore w:w="729" w:type="dxa"/>
          <w:tblCellSpacing w:w="15" w:type="dxa"/>
        </w:trPr>
        <w:tc>
          <w:tcPr>
            <w:tcW w:w="383" w:type="dxa"/>
            <w:shd w:val="clear" w:color="auto" w:fill="FFFFFF"/>
            <w:noWrap/>
            <w:hideMark/>
          </w:tcPr>
          <w:p w:rsidR="004C0131" w:rsidRPr="004C0131" w:rsidRDefault="004C0131" w:rsidP="009A1BCA">
            <w:pPr>
              <w:jc w:val="both"/>
            </w:pPr>
            <w:r w:rsidRPr="004C0131">
              <w:t>(a)</w:t>
            </w:r>
          </w:p>
        </w:tc>
        <w:tc>
          <w:tcPr>
            <w:tcW w:w="80" w:type="dxa"/>
            <w:shd w:val="clear" w:color="auto" w:fill="FFFFFF"/>
            <w:hideMark/>
          </w:tcPr>
          <w:p w:rsidR="004C0131" w:rsidRPr="004C0131" w:rsidRDefault="004C0131" w:rsidP="009A1BCA">
            <w:pPr>
              <w:jc w:val="both"/>
            </w:pPr>
            <w:r w:rsidRPr="004C0131">
              <w:t> </w:t>
            </w:r>
          </w:p>
        </w:tc>
        <w:tc>
          <w:tcPr>
            <w:tcW w:w="7932" w:type="dxa"/>
            <w:shd w:val="clear" w:color="auto" w:fill="FFFFFF"/>
            <w:hideMark/>
          </w:tcPr>
          <w:p w:rsidR="004C0131" w:rsidRPr="004C0131" w:rsidRDefault="004C0131" w:rsidP="009A1BCA">
            <w:pPr>
              <w:jc w:val="both"/>
            </w:pPr>
            <w:r w:rsidRPr="004C0131">
              <w:t xml:space="preserve">a certificate in </w:t>
            </w:r>
            <w:r w:rsidRPr="00031A53">
              <w:rPr>
                <w:b/>
              </w:rPr>
              <w:t>Form No. 15CB</w:t>
            </w:r>
            <w:r w:rsidRPr="004C0131">
              <w:t xml:space="preserve"> f</w:t>
            </w:r>
            <w:r w:rsidR="00354B63">
              <w:t xml:space="preserve">rom an accountant as defined in </w:t>
            </w:r>
            <w:r w:rsidRPr="004C0131">
              <w:t>the Explanation below sub-section (2) of section 288; or</w:t>
            </w:r>
          </w:p>
        </w:tc>
      </w:tr>
      <w:tr w:rsidR="004C0131" w:rsidRPr="004C0131" w:rsidTr="00354B63">
        <w:trPr>
          <w:gridBefore w:val="3"/>
          <w:wBefore w:w="729" w:type="dxa"/>
          <w:tblCellSpacing w:w="15" w:type="dxa"/>
        </w:trPr>
        <w:tc>
          <w:tcPr>
            <w:tcW w:w="383" w:type="dxa"/>
            <w:shd w:val="clear" w:color="auto" w:fill="FFFFFF"/>
            <w:noWrap/>
            <w:hideMark/>
          </w:tcPr>
          <w:p w:rsidR="004C0131" w:rsidRPr="004C0131" w:rsidRDefault="004C0131" w:rsidP="009A1BCA">
            <w:pPr>
              <w:jc w:val="both"/>
            </w:pPr>
            <w:r w:rsidRPr="004C0131">
              <w:t>(b)</w:t>
            </w:r>
          </w:p>
        </w:tc>
        <w:tc>
          <w:tcPr>
            <w:tcW w:w="80" w:type="dxa"/>
            <w:shd w:val="clear" w:color="auto" w:fill="FFFFFF"/>
            <w:hideMark/>
          </w:tcPr>
          <w:p w:rsidR="004C0131" w:rsidRPr="004C0131" w:rsidRDefault="004C0131" w:rsidP="009A1BCA">
            <w:pPr>
              <w:jc w:val="both"/>
            </w:pPr>
            <w:r w:rsidRPr="004C0131">
              <w:t> </w:t>
            </w:r>
          </w:p>
        </w:tc>
        <w:tc>
          <w:tcPr>
            <w:tcW w:w="7932" w:type="dxa"/>
            <w:shd w:val="clear" w:color="auto" w:fill="FFFFFF"/>
            <w:hideMark/>
          </w:tcPr>
          <w:p w:rsidR="004C0131" w:rsidRPr="004C0131" w:rsidRDefault="004C0131" w:rsidP="009A1BCA">
            <w:pPr>
              <w:jc w:val="both"/>
            </w:pPr>
            <w:r w:rsidRPr="004C0131">
              <w:t>a certificate from the Assessing Officer under section 197; or</w:t>
            </w:r>
          </w:p>
        </w:tc>
      </w:tr>
      <w:tr w:rsidR="004C0131" w:rsidRPr="004C0131" w:rsidTr="00354B63">
        <w:trPr>
          <w:gridBefore w:val="3"/>
          <w:wBefore w:w="729" w:type="dxa"/>
          <w:tblCellSpacing w:w="15" w:type="dxa"/>
        </w:trPr>
        <w:tc>
          <w:tcPr>
            <w:tcW w:w="383" w:type="dxa"/>
            <w:shd w:val="clear" w:color="auto" w:fill="FFFFFF"/>
            <w:noWrap/>
            <w:hideMark/>
          </w:tcPr>
          <w:p w:rsidR="004C0131" w:rsidRPr="004C0131" w:rsidRDefault="004C0131" w:rsidP="009A1BCA">
            <w:pPr>
              <w:jc w:val="both"/>
            </w:pPr>
            <w:r w:rsidRPr="004C0131">
              <w:t>(c)</w:t>
            </w:r>
          </w:p>
        </w:tc>
        <w:tc>
          <w:tcPr>
            <w:tcW w:w="80" w:type="dxa"/>
            <w:shd w:val="clear" w:color="auto" w:fill="FFFFFF"/>
            <w:hideMark/>
          </w:tcPr>
          <w:p w:rsidR="004C0131" w:rsidRPr="004C0131" w:rsidRDefault="004C0131" w:rsidP="009A1BCA">
            <w:pPr>
              <w:jc w:val="both"/>
            </w:pPr>
            <w:r w:rsidRPr="004C0131">
              <w:t> </w:t>
            </w:r>
          </w:p>
        </w:tc>
        <w:tc>
          <w:tcPr>
            <w:tcW w:w="7932" w:type="dxa"/>
            <w:shd w:val="clear" w:color="auto" w:fill="FFFFFF"/>
            <w:hideMark/>
          </w:tcPr>
          <w:p w:rsidR="004C0131" w:rsidRPr="004C0131" w:rsidRDefault="004C0131" w:rsidP="009A1BCA">
            <w:pPr>
              <w:jc w:val="both"/>
            </w:pPr>
            <w:r w:rsidRPr="004C0131">
              <w:t>an order from the Assessing Officer under sub-section (2) or sub-section (3) of section 195.</w:t>
            </w:r>
          </w:p>
        </w:tc>
      </w:tr>
    </w:tbl>
    <w:p w:rsidR="004C0131" w:rsidRDefault="004C0131" w:rsidP="00A850DF">
      <w:pPr>
        <w:spacing w:line="360" w:lineRule="auto"/>
        <w:jc w:val="both"/>
      </w:pPr>
      <w:r w:rsidRPr="004C0131">
        <w:t xml:space="preserve">The information in Form No. 15CA shall be furnished by the person electronically to the website designated by the Income-tax Department and thereafter signed printout of the said form shall be submitted to the </w:t>
      </w:r>
      <w:proofErr w:type="spellStart"/>
      <w:r w:rsidRPr="004C0131">
        <w:t>authorised</w:t>
      </w:r>
      <w:proofErr w:type="spellEnd"/>
      <w:r w:rsidRPr="004C0131">
        <w:t xml:space="preserve"> dealer, prior to remitting the payment.</w:t>
      </w:r>
    </w:p>
    <w:p w:rsidR="00031A53" w:rsidRDefault="00031A53" w:rsidP="00A850DF">
      <w:pPr>
        <w:spacing w:line="360" w:lineRule="auto"/>
        <w:jc w:val="both"/>
      </w:pPr>
      <w:r>
        <w:t>Rule 37BB further specifies a list of 28 categories of payments for which no information is required to be furnished. The list is as follows:</w:t>
      </w:r>
    </w:p>
    <w:p w:rsidR="00A24672" w:rsidRPr="00A24672" w:rsidRDefault="00A24672" w:rsidP="00A850DF">
      <w:pPr>
        <w:pStyle w:val="ListParagraph"/>
        <w:numPr>
          <w:ilvl w:val="0"/>
          <w:numId w:val="3"/>
        </w:numPr>
        <w:spacing w:line="360" w:lineRule="auto"/>
        <w:jc w:val="both"/>
      </w:pPr>
      <w:r w:rsidRPr="00A24672">
        <w:t>Indian investment abroad-in equity capital (shares)</w:t>
      </w:r>
    </w:p>
    <w:p w:rsidR="00A24672" w:rsidRPr="00A24672" w:rsidRDefault="00A24672" w:rsidP="00A850DF">
      <w:pPr>
        <w:pStyle w:val="ListParagraph"/>
        <w:numPr>
          <w:ilvl w:val="0"/>
          <w:numId w:val="3"/>
        </w:numPr>
        <w:spacing w:line="360" w:lineRule="auto"/>
        <w:jc w:val="both"/>
      </w:pPr>
      <w:r w:rsidRPr="00A24672">
        <w:t>Indian investment abroad-in debt securities</w:t>
      </w:r>
    </w:p>
    <w:p w:rsidR="00A24672" w:rsidRPr="00A24672" w:rsidRDefault="00A24672" w:rsidP="00A850DF">
      <w:pPr>
        <w:pStyle w:val="ListParagraph"/>
        <w:numPr>
          <w:ilvl w:val="0"/>
          <w:numId w:val="3"/>
        </w:numPr>
        <w:spacing w:line="360" w:lineRule="auto"/>
        <w:jc w:val="both"/>
      </w:pPr>
      <w:r w:rsidRPr="00A24672">
        <w:t>Indian investment abroad-in branches and wholly owned subsidiaries</w:t>
      </w:r>
    </w:p>
    <w:p w:rsidR="00A24672" w:rsidRPr="00A24672" w:rsidRDefault="00A24672" w:rsidP="00A850DF">
      <w:pPr>
        <w:pStyle w:val="ListParagraph"/>
        <w:numPr>
          <w:ilvl w:val="0"/>
          <w:numId w:val="3"/>
        </w:numPr>
        <w:spacing w:line="360" w:lineRule="auto"/>
        <w:jc w:val="both"/>
      </w:pPr>
      <w:r w:rsidRPr="00A24672">
        <w:lastRenderedPageBreak/>
        <w:t>Indian investment abroad-in subsidiaries and associates</w:t>
      </w:r>
    </w:p>
    <w:p w:rsidR="00A24672" w:rsidRPr="00A24672" w:rsidRDefault="00A24672" w:rsidP="00A850DF">
      <w:pPr>
        <w:pStyle w:val="ListParagraph"/>
        <w:numPr>
          <w:ilvl w:val="0"/>
          <w:numId w:val="3"/>
        </w:numPr>
        <w:spacing w:line="360" w:lineRule="auto"/>
        <w:jc w:val="both"/>
      </w:pPr>
      <w:r w:rsidRPr="00A24672">
        <w:t>Indian investment abroad-in real estate</w:t>
      </w:r>
    </w:p>
    <w:p w:rsidR="00A24672" w:rsidRPr="00A24672" w:rsidRDefault="00A24672" w:rsidP="00A850DF">
      <w:pPr>
        <w:pStyle w:val="ListParagraph"/>
        <w:numPr>
          <w:ilvl w:val="0"/>
          <w:numId w:val="3"/>
        </w:numPr>
        <w:spacing w:line="360" w:lineRule="auto"/>
        <w:jc w:val="both"/>
      </w:pPr>
      <w:r w:rsidRPr="00A24672">
        <w:t>Loans extended to Non-Residents</w:t>
      </w:r>
    </w:p>
    <w:p w:rsidR="00A24672" w:rsidRPr="00A24672" w:rsidRDefault="00A24672" w:rsidP="00A850DF">
      <w:pPr>
        <w:pStyle w:val="ListParagraph"/>
        <w:numPr>
          <w:ilvl w:val="0"/>
          <w:numId w:val="3"/>
        </w:numPr>
        <w:spacing w:line="360" w:lineRule="auto"/>
        <w:jc w:val="both"/>
      </w:pPr>
      <w:r w:rsidRPr="00A24672">
        <w:t>Payment for operating expenses of Indian shipping companies operating abroad.</w:t>
      </w:r>
    </w:p>
    <w:p w:rsidR="00A24672" w:rsidRPr="00A24672" w:rsidRDefault="00A24672" w:rsidP="00A850DF">
      <w:pPr>
        <w:pStyle w:val="ListParagraph"/>
        <w:numPr>
          <w:ilvl w:val="0"/>
          <w:numId w:val="3"/>
        </w:numPr>
        <w:spacing w:line="360" w:lineRule="auto"/>
        <w:jc w:val="both"/>
      </w:pPr>
      <w:r w:rsidRPr="00A24672">
        <w:t>Operating expenses of Indian Airlines companies operating abroad</w:t>
      </w:r>
    </w:p>
    <w:p w:rsidR="00A24672" w:rsidRPr="00A24672" w:rsidRDefault="00A24672" w:rsidP="00A850DF">
      <w:pPr>
        <w:pStyle w:val="ListParagraph"/>
        <w:numPr>
          <w:ilvl w:val="0"/>
          <w:numId w:val="3"/>
        </w:numPr>
        <w:spacing w:line="360" w:lineRule="auto"/>
        <w:jc w:val="both"/>
      </w:pPr>
      <w:r w:rsidRPr="00A24672">
        <w:t>Booking of passages abroad - Airlines companies</w:t>
      </w:r>
    </w:p>
    <w:p w:rsidR="00A24672" w:rsidRPr="00A24672" w:rsidRDefault="00A24672" w:rsidP="00A850DF">
      <w:pPr>
        <w:pStyle w:val="ListParagraph"/>
        <w:numPr>
          <w:ilvl w:val="0"/>
          <w:numId w:val="3"/>
        </w:numPr>
        <w:spacing w:line="360" w:lineRule="auto"/>
        <w:jc w:val="both"/>
      </w:pPr>
      <w:r w:rsidRPr="00A24672">
        <w:t>Remittance towards business travel.</w:t>
      </w:r>
    </w:p>
    <w:p w:rsidR="00A24672" w:rsidRPr="00A24672" w:rsidRDefault="00A24672" w:rsidP="00A850DF">
      <w:pPr>
        <w:pStyle w:val="ListParagraph"/>
        <w:numPr>
          <w:ilvl w:val="0"/>
          <w:numId w:val="3"/>
        </w:numPr>
        <w:spacing w:line="360" w:lineRule="auto"/>
        <w:jc w:val="both"/>
      </w:pPr>
      <w:r w:rsidRPr="00A24672">
        <w:t>Travel under basic travel quota (BTQ)</w:t>
      </w:r>
    </w:p>
    <w:p w:rsidR="00A24672" w:rsidRPr="00A24672" w:rsidRDefault="00A24672" w:rsidP="00A850DF">
      <w:pPr>
        <w:pStyle w:val="ListParagraph"/>
        <w:numPr>
          <w:ilvl w:val="0"/>
          <w:numId w:val="3"/>
        </w:numPr>
        <w:spacing w:line="360" w:lineRule="auto"/>
        <w:jc w:val="both"/>
      </w:pPr>
      <w:r w:rsidRPr="00A24672">
        <w:t>Travel for pilgrimage</w:t>
      </w:r>
    </w:p>
    <w:p w:rsidR="00A24672" w:rsidRPr="00A24672" w:rsidRDefault="00A24672" w:rsidP="00A850DF">
      <w:pPr>
        <w:pStyle w:val="ListParagraph"/>
        <w:numPr>
          <w:ilvl w:val="0"/>
          <w:numId w:val="3"/>
        </w:numPr>
        <w:spacing w:line="360" w:lineRule="auto"/>
        <w:jc w:val="both"/>
      </w:pPr>
      <w:r w:rsidRPr="00A24672">
        <w:t>Travel for medical treatment</w:t>
      </w:r>
    </w:p>
    <w:p w:rsidR="00A24672" w:rsidRPr="00A24672" w:rsidRDefault="00A24672" w:rsidP="00A850DF">
      <w:pPr>
        <w:pStyle w:val="ListParagraph"/>
        <w:numPr>
          <w:ilvl w:val="0"/>
          <w:numId w:val="3"/>
        </w:numPr>
        <w:spacing w:line="360" w:lineRule="auto"/>
        <w:jc w:val="both"/>
      </w:pPr>
      <w:r w:rsidRPr="00A24672">
        <w:t>Travel for education (including fees, hostel expenses etc.)</w:t>
      </w:r>
    </w:p>
    <w:p w:rsidR="00A24672" w:rsidRPr="00A24672" w:rsidRDefault="00A24672" w:rsidP="00A850DF">
      <w:pPr>
        <w:pStyle w:val="ListParagraph"/>
        <w:numPr>
          <w:ilvl w:val="0"/>
          <w:numId w:val="3"/>
        </w:numPr>
        <w:spacing w:line="360" w:lineRule="auto"/>
        <w:jc w:val="both"/>
      </w:pPr>
      <w:r w:rsidRPr="00A24672">
        <w:t>Postal services</w:t>
      </w:r>
    </w:p>
    <w:p w:rsidR="00A24672" w:rsidRPr="00A24672" w:rsidRDefault="00A24672" w:rsidP="00A850DF">
      <w:pPr>
        <w:pStyle w:val="ListParagraph"/>
        <w:numPr>
          <w:ilvl w:val="0"/>
          <w:numId w:val="3"/>
        </w:numPr>
        <w:spacing w:line="360" w:lineRule="auto"/>
        <w:jc w:val="both"/>
      </w:pPr>
      <w:r w:rsidRPr="00A24672">
        <w:t>Construction of projects abroad by Indian companies including import of goods at project site</w:t>
      </w:r>
    </w:p>
    <w:p w:rsidR="00A24672" w:rsidRPr="00A24672" w:rsidRDefault="00A24672" w:rsidP="00A850DF">
      <w:pPr>
        <w:pStyle w:val="ListParagraph"/>
        <w:numPr>
          <w:ilvl w:val="0"/>
          <w:numId w:val="3"/>
        </w:numPr>
        <w:spacing w:line="360" w:lineRule="auto"/>
        <w:jc w:val="both"/>
      </w:pPr>
      <w:r w:rsidRPr="00A24672">
        <w:t>Freight insurance - relating to import and export of goods</w:t>
      </w:r>
    </w:p>
    <w:p w:rsidR="00A24672" w:rsidRPr="00A24672" w:rsidRDefault="00A24672" w:rsidP="00A850DF">
      <w:pPr>
        <w:pStyle w:val="ListParagraph"/>
        <w:numPr>
          <w:ilvl w:val="0"/>
          <w:numId w:val="3"/>
        </w:numPr>
        <w:spacing w:line="360" w:lineRule="auto"/>
        <w:jc w:val="both"/>
      </w:pPr>
      <w:r w:rsidRPr="00A24672">
        <w:t>Payments for maintenance of offices abroad</w:t>
      </w:r>
    </w:p>
    <w:p w:rsidR="00A24672" w:rsidRPr="00A24672" w:rsidRDefault="00A24672" w:rsidP="00A850DF">
      <w:pPr>
        <w:pStyle w:val="ListParagraph"/>
        <w:numPr>
          <w:ilvl w:val="0"/>
          <w:numId w:val="3"/>
        </w:numPr>
        <w:spacing w:line="360" w:lineRule="auto"/>
        <w:jc w:val="both"/>
      </w:pPr>
      <w:r w:rsidRPr="00A24672">
        <w:t>Maintenance of Indian embassies abroad</w:t>
      </w:r>
    </w:p>
    <w:p w:rsidR="00A24672" w:rsidRPr="00A24672" w:rsidRDefault="00A24672" w:rsidP="00A850DF">
      <w:pPr>
        <w:pStyle w:val="ListParagraph"/>
        <w:numPr>
          <w:ilvl w:val="0"/>
          <w:numId w:val="3"/>
        </w:numPr>
        <w:spacing w:line="360" w:lineRule="auto"/>
        <w:jc w:val="both"/>
      </w:pPr>
      <w:r w:rsidRPr="00A24672">
        <w:t>Remittances by foreign embassies in India</w:t>
      </w:r>
    </w:p>
    <w:p w:rsidR="00A24672" w:rsidRPr="00A24672" w:rsidRDefault="00A24672" w:rsidP="00A850DF">
      <w:pPr>
        <w:pStyle w:val="ListParagraph"/>
        <w:numPr>
          <w:ilvl w:val="0"/>
          <w:numId w:val="3"/>
        </w:numPr>
        <w:spacing w:line="360" w:lineRule="auto"/>
        <w:jc w:val="both"/>
      </w:pPr>
      <w:r w:rsidRPr="00A24672">
        <w:t>Remittance by non-residents towards family maintenance and savings</w:t>
      </w:r>
    </w:p>
    <w:p w:rsidR="00A24672" w:rsidRPr="00A24672" w:rsidRDefault="00A24672" w:rsidP="00A850DF">
      <w:pPr>
        <w:pStyle w:val="ListParagraph"/>
        <w:numPr>
          <w:ilvl w:val="0"/>
          <w:numId w:val="3"/>
        </w:numPr>
        <w:spacing w:line="360" w:lineRule="auto"/>
        <w:jc w:val="both"/>
      </w:pPr>
      <w:r w:rsidRPr="00A24672">
        <w:t>Remittance towards personal gifts and donations</w:t>
      </w:r>
    </w:p>
    <w:p w:rsidR="00A24672" w:rsidRPr="00A24672" w:rsidRDefault="00A24672" w:rsidP="00A850DF">
      <w:pPr>
        <w:pStyle w:val="ListParagraph"/>
        <w:numPr>
          <w:ilvl w:val="0"/>
          <w:numId w:val="3"/>
        </w:numPr>
        <w:spacing w:line="360" w:lineRule="auto"/>
        <w:jc w:val="both"/>
      </w:pPr>
      <w:r w:rsidRPr="00A24672">
        <w:t>Remittance towards donations to religious and charitable institutions abroad</w:t>
      </w:r>
    </w:p>
    <w:p w:rsidR="00A24672" w:rsidRPr="00A24672" w:rsidRDefault="00A24672" w:rsidP="00A850DF">
      <w:pPr>
        <w:pStyle w:val="ListParagraph"/>
        <w:numPr>
          <w:ilvl w:val="0"/>
          <w:numId w:val="3"/>
        </w:numPr>
        <w:spacing w:line="360" w:lineRule="auto"/>
        <w:jc w:val="both"/>
      </w:pPr>
      <w:r w:rsidRPr="00A24672">
        <w:t>Remittance towards grants and donations to other Governments and charitable institutions established by the Governments</w:t>
      </w:r>
    </w:p>
    <w:p w:rsidR="00A24672" w:rsidRPr="00A24672" w:rsidRDefault="00A24672" w:rsidP="00A850DF">
      <w:pPr>
        <w:pStyle w:val="ListParagraph"/>
        <w:numPr>
          <w:ilvl w:val="0"/>
          <w:numId w:val="3"/>
        </w:numPr>
        <w:spacing w:line="360" w:lineRule="auto"/>
        <w:jc w:val="both"/>
      </w:pPr>
      <w:r w:rsidRPr="00A24672">
        <w:t>Contributions or donations by the Government to international institutions</w:t>
      </w:r>
    </w:p>
    <w:p w:rsidR="00A24672" w:rsidRPr="00A24672" w:rsidRDefault="00A24672" w:rsidP="00A850DF">
      <w:pPr>
        <w:pStyle w:val="ListParagraph"/>
        <w:numPr>
          <w:ilvl w:val="0"/>
          <w:numId w:val="3"/>
        </w:numPr>
        <w:spacing w:line="360" w:lineRule="auto"/>
        <w:jc w:val="both"/>
      </w:pPr>
      <w:r w:rsidRPr="00A24672">
        <w:t>Remittance towards payment or refund of taxes</w:t>
      </w:r>
    </w:p>
    <w:p w:rsidR="00A24672" w:rsidRPr="00A24672" w:rsidRDefault="00A24672" w:rsidP="00A850DF">
      <w:pPr>
        <w:pStyle w:val="ListParagraph"/>
        <w:numPr>
          <w:ilvl w:val="0"/>
          <w:numId w:val="3"/>
        </w:numPr>
        <w:spacing w:line="360" w:lineRule="auto"/>
        <w:jc w:val="both"/>
      </w:pPr>
      <w:r w:rsidRPr="00A24672">
        <w:t>Refunds or rebates or reduction in invoice value on account of exports</w:t>
      </w:r>
    </w:p>
    <w:p w:rsidR="00031A53" w:rsidRDefault="00A24672" w:rsidP="00A850DF">
      <w:pPr>
        <w:pStyle w:val="ListParagraph"/>
        <w:numPr>
          <w:ilvl w:val="0"/>
          <w:numId w:val="3"/>
        </w:numPr>
        <w:spacing w:line="360" w:lineRule="auto"/>
        <w:jc w:val="both"/>
      </w:pPr>
      <w:r w:rsidRPr="00A24672">
        <w:t>Payments by residents for international bidding.</w:t>
      </w:r>
    </w:p>
    <w:p w:rsidR="00A24672" w:rsidRDefault="00A24672" w:rsidP="00A850DF">
      <w:pPr>
        <w:pStyle w:val="ListParagraph"/>
        <w:spacing w:line="360" w:lineRule="auto"/>
        <w:jc w:val="both"/>
      </w:pPr>
    </w:p>
    <w:p w:rsidR="00463665" w:rsidRDefault="00463665" w:rsidP="00A850DF">
      <w:pPr>
        <w:pStyle w:val="ListParagraph"/>
        <w:spacing w:line="360" w:lineRule="auto"/>
        <w:ind w:left="0"/>
        <w:jc w:val="both"/>
      </w:pPr>
      <w:r>
        <w:t>Any payment apart from those mentioned above shall require the remitter of payment to submit Form 15CA and 15CB.</w:t>
      </w:r>
    </w:p>
    <w:p w:rsidR="0015565E" w:rsidRDefault="0015565E" w:rsidP="00A850DF">
      <w:pPr>
        <w:pStyle w:val="ListParagraph"/>
        <w:spacing w:line="360" w:lineRule="auto"/>
        <w:ind w:left="0"/>
        <w:jc w:val="both"/>
      </w:pPr>
    </w:p>
    <w:p w:rsidR="00AB752E" w:rsidRDefault="0015565E" w:rsidP="00A850DF">
      <w:pPr>
        <w:pStyle w:val="ListParagraph"/>
        <w:spacing w:line="360" w:lineRule="auto"/>
        <w:ind w:left="0"/>
        <w:jc w:val="both"/>
      </w:pPr>
      <w:r>
        <w:lastRenderedPageBreak/>
        <w:t xml:space="preserve">Any contravention of Section 195 (6) read with Rule 37BB shall attract the penal provisions of </w:t>
      </w:r>
      <w:r w:rsidRPr="00307057">
        <w:rPr>
          <w:b/>
        </w:rPr>
        <w:t>Section 271-I</w:t>
      </w:r>
      <w:r>
        <w:t xml:space="preserve"> whereby the person who fails to furnish the details required or furnishes inaccurate information, may be directed by the Assessing Officer to pay by way of penalty a sum of one </w:t>
      </w:r>
      <w:proofErr w:type="spellStart"/>
      <w:r>
        <w:t>lakh</w:t>
      </w:r>
      <w:proofErr w:type="spellEnd"/>
      <w:r>
        <w:t xml:space="preserve"> rupees.</w:t>
      </w:r>
    </w:p>
    <w:p w:rsidR="00307057" w:rsidRDefault="00141F74" w:rsidP="00A850DF">
      <w:pPr>
        <w:pStyle w:val="ListParagraph"/>
        <w:spacing w:after="0" w:line="360" w:lineRule="auto"/>
        <w:ind w:left="0"/>
        <w:jc w:val="both"/>
      </w:pPr>
      <w:r>
        <w:t>A flowchart given below explains the entire procedure:</w:t>
      </w:r>
    </w:p>
    <w:p w:rsidR="00141F74" w:rsidRDefault="00D05FB7" w:rsidP="00A850DF">
      <w:pPr>
        <w:pStyle w:val="ListParagraph"/>
        <w:spacing w:after="0" w:line="360" w:lineRule="auto"/>
        <w:ind w:left="0"/>
        <w:jc w:val="both"/>
      </w:pPr>
      <w:r>
        <w:rPr>
          <w:noProof/>
        </w:rPr>
        <w:pict>
          <v:rect id="_x0000_s1026" style="position:absolute;left:0;text-align:left;margin-left:152.15pt;margin-top:12.35pt;width:67pt;height:26.3pt;z-index:-251658240" wrapcoords="-243 -617 -243 20983 21843 20983 21843 -617 -243 -617">
            <v:textbox style="mso-next-textbox:#_x0000_s1026">
              <w:txbxContent>
                <w:p w:rsidR="00A850DF" w:rsidRDefault="00A850DF" w:rsidP="00141F74">
                  <w:pPr>
                    <w:jc w:val="center"/>
                  </w:pPr>
                  <w:r>
                    <w:t>Remitter</w:t>
                  </w:r>
                </w:p>
              </w:txbxContent>
            </v:textbox>
            <w10:wrap type="through"/>
          </v:rect>
        </w:pict>
      </w:r>
    </w:p>
    <w:p w:rsidR="0015565E" w:rsidRDefault="00307057" w:rsidP="00A850DF">
      <w:pPr>
        <w:pStyle w:val="ListParagraph"/>
        <w:spacing w:line="360" w:lineRule="auto"/>
        <w:ind w:left="0"/>
        <w:jc w:val="both"/>
      </w:pPr>
      <w:r>
        <w:tab/>
      </w:r>
      <w:r w:rsidR="0015565E">
        <w:t xml:space="preserve">  </w:t>
      </w:r>
    </w:p>
    <w:p w:rsidR="00B979C0" w:rsidRDefault="00D05FB7" w:rsidP="00A850DF">
      <w:pPr>
        <w:pStyle w:val="ListParagraph"/>
        <w:spacing w:before="240" w:line="360" w:lineRule="auto"/>
        <w:ind w:left="0"/>
        <w:jc w:val="both"/>
      </w:pPr>
      <w:r>
        <w:rPr>
          <w:noProof/>
        </w:rPr>
        <w:pict>
          <v:rect id="_x0000_s1034" style="position:absolute;left:0;text-align:left;margin-left:88.9pt;margin-top:178.1pt;width:205.4pt;height:57pt;z-index:251666432" wrapcoords="-243 -617 -243 20983 21843 20983 21843 -617 -243 -617">
            <v:textbox style="mso-next-textbox:#_x0000_s1034">
              <w:txbxContent>
                <w:p w:rsidR="00A850DF" w:rsidRDefault="00A850DF" w:rsidP="00B979C0">
                  <w:pPr>
                    <w:jc w:val="center"/>
                  </w:pPr>
                  <w:r>
                    <w:t>A copy of the e-filed Form 15CA, duly signed, is submitted to the Authorized Dealer (Bank)</w:t>
                  </w:r>
                </w:p>
              </w:txbxContent>
            </v:textbox>
          </v:rect>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182.8pt;margin-top:155.55pt;width:0;height:22.55pt;z-index:251665408" o:connectortype="straight">
            <v:stroke endarrow="block"/>
          </v:shape>
        </w:pict>
      </w:r>
      <w:r>
        <w:rPr>
          <w:noProof/>
        </w:rPr>
        <w:pict>
          <v:shape id="_x0000_s1032" type="#_x0000_t32" style="position:absolute;left:0;text-align:left;margin-left:185.95pt;margin-top:72.25pt;width:0;height:22.55pt;z-index:251664384" o:connectortype="straight">
            <v:stroke endarrow="block"/>
          </v:shape>
        </w:pict>
      </w:r>
      <w:r>
        <w:rPr>
          <w:noProof/>
        </w:rPr>
        <w:pict>
          <v:shape id="_x0000_s1031" type="#_x0000_t32" style="position:absolute;left:0;text-align:left;margin-left:185.95pt;margin-top:7.75pt;width:0;height:22.55pt;z-index:251663360" o:connectortype="straight">
            <v:stroke endarrow="block"/>
          </v:shape>
        </w:pict>
      </w:r>
      <w:r>
        <w:rPr>
          <w:noProof/>
        </w:rPr>
        <w:pict>
          <v:rect id="_x0000_s1030" style="position:absolute;left:0;text-align:left;margin-left:88.9pt;margin-top:98.55pt;width:205.4pt;height:57pt;z-index:251662336" wrapcoords="-243 -617 -243 20983 21843 20983 21843 -617 -243 -617">
            <v:textbox style="mso-next-textbox:#_x0000_s1030">
              <w:txbxContent>
                <w:p w:rsidR="00A850DF" w:rsidRDefault="00A850DF" w:rsidP="00D14173">
                  <w:pPr>
                    <w:jc w:val="center"/>
                  </w:pPr>
                  <w:r>
                    <w:t>Electronically uploads the remittance details in Form 15CA on www.incometaxindiaefiling.gov.in</w:t>
                  </w:r>
                </w:p>
              </w:txbxContent>
            </v:textbox>
          </v:rect>
        </w:pict>
      </w:r>
      <w:r>
        <w:rPr>
          <w:noProof/>
        </w:rPr>
        <w:pict>
          <v:rect id="_x0000_s1028" style="position:absolute;left:0;text-align:left;margin-left:130.25pt;margin-top:30.3pt;width:122.7pt;height:41.95pt;z-index:251660288" wrapcoords="-243 -617 -243 20983 21843 20983 21843 -617 -243 -617">
            <v:textbox style="mso-next-textbox:#_x0000_s1028">
              <w:txbxContent>
                <w:p w:rsidR="00A850DF" w:rsidRDefault="00A850DF" w:rsidP="005B1F0D">
                  <w:pPr>
                    <w:jc w:val="center"/>
                  </w:pPr>
                  <w:r>
                    <w:t>Obtains Certificate from CA in Form 15CB</w:t>
                  </w:r>
                </w:p>
              </w:txbxContent>
            </v:textbox>
          </v:rect>
        </w:pict>
      </w:r>
    </w:p>
    <w:p w:rsidR="00B979C0" w:rsidRPr="00B979C0" w:rsidRDefault="00A65589" w:rsidP="00A850DF">
      <w:pPr>
        <w:tabs>
          <w:tab w:val="left" w:pos="6874"/>
        </w:tabs>
        <w:spacing w:line="360" w:lineRule="auto"/>
        <w:jc w:val="both"/>
      </w:pPr>
      <w:r>
        <w:tab/>
      </w:r>
    </w:p>
    <w:p w:rsidR="00B979C0" w:rsidRPr="00B979C0" w:rsidRDefault="00B979C0" w:rsidP="00A850DF">
      <w:pPr>
        <w:spacing w:line="360" w:lineRule="auto"/>
        <w:jc w:val="both"/>
      </w:pPr>
    </w:p>
    <w:p w:rsidR="00B979C0" w:rsidRPr="00B979C0" w:rsidRDefault="00B979C0" w:rsidP="00A850DF">
      <w:pPr>
        <w:spacing w:line="360" w:lineRule="auto"/>
        <w:jc w:val="both"/>
      </w:pPr>
    </w:p>
    <w:p w:rsidR="00B979C0" w:rsidRPr="00B979C0" w:rsidRDefault="00B979C0" w:rsidP="00A850DF">
      <w:pPr>
        <w:spacing w:line="360" w:lineRule="auto"/>
        <w:jc w:val="both"/>
      </w:pPr>
    </w:p>
    <w:p w:rsidR="00B979C0" w:rsidRPr="00B979C0" w:rsidRDefault="00B979C0" w:rsidP="00A850DF">
      <w:pPr>
        <w:spacing w:line="360" w:lineRule="auto"/>
        <w:jc w:val="both"/>
      </w:pPr>
    </w:p>
    <w:p w:rsidR="00B979C0" w:rsidRPr="00B979C0" w:rsidRDefault="00B979C0" w:rsidP="00A850DF">
      <w:pPr>
        <w:spacing w:line="360" w:lineRule="auto"/>
        <w:jc w:val="both"/>
      </w:pPr>
    </w:p>
    <w:p w:rsidR="00AB752E" w:rsidRDefault="00AB752E" w:rsidP="00A850DF">
      <w:pPr>
        <w:tabs>
          <w:tab w:val="left" w:pos="6361"/>
        </w:tabs>
        <w:spacing w:line="360" w:lineRule="auto"/>
        <w:jc w:val="both"/>
      </w:pPr>
    </w:p>
    <w:p w:rsidR="00A850DF" w:rsidRDefault="00A850DF" w:rsidP="00A850DF">
      <w:pPr>
        <w:tabs>
          <w:tab w:val="left" w:pos="6361"/>
        </w:tabs>
        <w:spacing w:line="360" w:lineRule="auto"/>
        <w:jc w:val="both"/>
        <w:rPr>
          <w:b/>
          <w:u w:val="single"/>
        </w:rPr>
      </w:pPr>
    </w:p>
    <w:p w:rsidR="00B979C0" w:rsidRDefault="005201A0" w:rsidP="00A850DF">
      <w:pPr>
        <w:tabs>
          <w:tab w:val="left" w:pos="6361"/>
        </w:tabs>
        <w:spacing w:line="360" w:lineRule="auto"/>
        <w:jc w:val="both"/>
        <w:rPr>
          <w:b/>
          <w:u w:val="single"/>
        </w:rPr>
      </w:pPr>
      <w:r w:rsidRPr="005201A0">
        <w:rPr>
          <w:b/>
          <w:u w:val="single"/>
        </w:rPr>
        <w:t>Whether payments to non- residents for imports requires 15CA and 15CB</w:t>
      </w:r>
      <w:r w:rsidRPr="00624B4D">
        <w:rPr>
          <w:b/>
        </w:rPr>
        <w:t>?</w:t>
      </w:r>
    </w:p>
    <w:p w:rsidR="005201A0" w:rsidRDefault="005201A0" w:rsidP="00A850DF">
      <w:pPr>
        <w:tabs>
          <w:tab w:val="left" w:pos="6361"/>
        </w:tabs>
        <w:spacing w:line="360" w:lineRule="auto"/>
        <w:jc w:val="both"/>
      </w:pPr>
      <w:r>
        <w:t>After the amendment consequent to Finance Act, 2015</w:t>
      </w:r>
      <w:r w:rsidR="00624B4D">
        <w:t xml:space="preserve"> [</w:t>
      </w:r>
      <w:r>
        <w:t>i.e</w:t>
      </w:r>
      <w:r w:rsidR="00624B4D">
        <w:t>.</w:t>
      </w:r>
      <w:r>
        <w:t xml:space="preserve"> replacing </w:t>
      </w:r>
      <w:r w:rsidR="00624B4D">
        <w:t>“</w:t>
      </w:r>
      <w:r w:rsidR="00624B4D" w:rsidRPr="00624B4D">
        <w:t>The person referred to in sub-section (1)</w:t>
      </w:r>
      <w:r w:rsidR="00624B4D">
        <w:t>” with “</w:t>
      </w:r>
      <w:r w:rsidR="00624B4D" w:rsidRPr="00624B4D">
        <w:t>The person responsible for paying to a non-resident, not being a company, or to a foreign company, any sum, whether or not chargeable under the provisions of this Act</w:t>
      </w:r>
      <w:r w:rsidR="00624B4D">
        <w:t>”], it can be concluded that one must furnish details for all remittances, including that of import payments.</w:t>
      </w:r>
    </w:p>
    <w:p w:rsidR="00624B4D" w:rsidRDefault="00624B4D" w:rsidP="00A850DF">
      <w:pPr>
        <w:tabs>
          <w:tab w:val="left" w:pos="6361"/>
        </w:tabs>
        <w:spacing w:line="360" w:lineRule="auto"/>
        <w:jc w:val="both"/>
      </w:pPr>
      <w:r>
        <w:t>However, Rule 37BB requires the furnishing of information in relation to those remittances which are chargeable to tax.</w:t>
      </w:r>
    </w:p>
    <w:p w:rsidR="00624B4D" w:rsidRDefault="00624B4D" w:rsidP="00A850DF">
      <w:pPr>
        <w:tabs>
          <w:tab w:val="left" w:pos="6361"/>
        </w:tabs>
        <w:spacing w:line="360" w:lineRule="auto"/>
        <w:jc w:val="both"/>
      </w:pPr>
      <w:r>
        <w:t>Hence, it can be said that nothing concrete has yet been prescribed by the Income Tax Department to clarify the issue. However, it would depend on the authorized dealer. If the banker insists for Form 15CA and Form 15CB, the remitter has no choice but to comply with the provisions of the Act.</w:t>
      </w:r>
    </w:p>
    <w:p w:rsidR="00AB1D1F" w:rsidRDefault="00AB1D1F" w:rsidP="00A850DF">
      <w:pPr>
        <w:tabs>
          <w:tab w:val="left" w:pos="6361"/>
        </w:tabs>
        <w:spacing w:line="360" w:lineRule="auto"/>
        <w:jc w:val="both"/>
        <w:rPr>
          <w:b/>
          <w:u w:val="single"/>
        </w:rPr>
      </w:pPr>
      <w:r w:rsidRPr="00AB1D1F">
        <w:rPr>
          <w:b/>
          <w:u w:val="single"/>
        </w:rPr>
        <w:t>Details required for filling in Form 15CA and 15CB</w:t>
      </w:r>
    </w:p>
    <w:p w:rsidR="00AB1D1F" w:rsidRDefault="00AB1D1F" w:rsidP="009A1BCA">
      <w:pPr>
        <w:pStyle w:val="ListParagraph"/>
        <w:numPr>
          <w:ilvl w:val="0"/>
          <w:numId w:val="4"/>
        </w:numPr>
        <w:tabs>
          <w:tab w:val="left" w:pos="6361"/>
        </w:tabs>
        <w:jc w:val="both"/>
      </w:pPr>
      <w:r>
        <w:lastRenderedPageBreak/>
        <w:t>Details of Remitter:</w:t>
      </w:r>
    </w:p>
    <w:p w:rsidR="00AB1D1F" w:rsidRDefault="00AB1D1F" w:rsidP="009A1BCA">
      <w:pPr>
        <w:pStyle w:val="ListParagraph"/>
        <w:numPr>
          <w:ilvl w:val="1"/>
          <w:numId w:val="4"/>
        </w:numPr>
        <w:tabs>
          <w:tab w:val="left" w:pos="6361"/>
        </w:tabs>
        <w:jc w:val="both"/>
      </w:pPr>
      <w:r>
        <w:t>Name</w:t>
      </w:r>
    </w:p>
    <w:p w:rsidR="00AB1D1F" w:rsidRDefault="00AB1D1F" w:rsidP="009A1BCA">
      <w:pPr>
        <w:pStyle w:val="ListParagraph"/>
        <w:numPr>
          <w:ilvl w:val="1"/>
          <w:numId w:val="4"/>
        </w:numPr>
        <w:tabs>
          <w:tab w:val="left" w:pos="6361"/>
        </w:tabs>
        <w:jc w:val="both"/>
      </w:pPr>
      <w:r>
        <w:t>Address</w:t>
      </w:r>
    </w:p>
    <w:p w:rsidR="00AB1D1F" w:rsidRDefault="00AB1D1F" w:rsidP="009A1BCA">
      <w:pPr>
        <w:pStyle w:val="ListParagraph"/>
        <w:numPr>
          <w:ilvl w:val="1"/>
          <w:numId w:val="4"/>
        </w:numPr>
        <w:tabs>
          <w:tab w:val="left" w:pos="6361"/>
        </w:tabs>
        <w:jc w:val="both"/>
      </w:pPr>
      <w:r>
        <w:t>PAN</w:t>
      </w:r>
    </w:p>
    <w:p w:rsidR="00DD66C7" w:rsidRDefault="00DD66C7" w:rsidP="009A1BCA">
      <w:pPr>
        <w:pStyle w:val="ListParagraph"/>
        <w:numPr>
          <w:ilvl w:val="1"/>
          <w:numId w:val="4"/>
        </w:numPr>
        <w:tabs>
          <w:tab w:val="left" w:pos="6361"/>
        </w:tabs>
        <w:jc w:val="both"/>
      </w:pPr>
      <w:r>
        <w:t>Status</w:t>
      </w:r>
    </w:p>
    <w:p w:rsidR="00DD66C7" w:rsidRDefault="00DD66C7" w:rsidP="009A1BCA">
      <w:pPr>
        <w:pStyle w:val="ListParagraph"/>
        <w:numPr>
          <w:ilvl w:val="1"/>
          <w:numId w:val="4"/>
        </w:numPr>
        <w:tabs>
          <w:tab w:val="left" w:pos="6361"/>
        </w:tabs>
        <w:jc w:val="both"/>
      </w:pPr>
      <w:r>
        <w:t>E-mail ID &amp; Phone No.</w:t>
      </w:r>
    </w:p>
    <w:p w:rsidR="00DD66C7" w:rsidRDefault="00AB1D1F" w:rsidP="009A1BCA">
      <w:pPr>
        <w:pStyle w:val="ListParagraph"/>
        <w:numPr>
          <w:ilvl w:val="1"/>
          <w:numId w:val="4"/>
        </w:numPr>
        <w:tabs>
          <w:tab w:val="left" w:pos="6361"/>
        </w:tabs>
        <w:jc w:val="both"/>
      </w:pPr>
      <w:r>
        <w:t xml:space="preserve">Principal Place </w:t>
      </w:r>
      <w:r w:rsidR="00DD66C7">
        <w:t>of Business</w:t>
      </w:r>
    </w:p>
    <w:p w:rsidR="00DD66C7" w:rsidRDefault="00DD66C7" w:rsidP="009A1BCA">
      <w:pPr>
        <w:pStyle w:val="ListParagraph"/>
        <w:numPr>
          <w:ilvl w:val="0"/>
          <w:numId w:val="4"/>
        </w:numPr>
        <w:tabs>
          <w:tab w:val="left" w:pos="6361"/>
        </w:tabs>
        <w:jc w:val="both"/>
      </w:pPr>
      <w:r>
        <w:t xml:space="preserve">Details of </w:t>
      </w:r>
      <w:proofErr w:type="spellStart"/>
      <w:r>
        <w:t>Remittee</w:t>
      </w:r>
      <w:proofErr w:type="spellEnd"/>
      <w:r>
        <w:t>:</w:t>
      </w:r>
    </w:p>
    <w:p w:rsidR="00DD66C7" w:rsidRDefault="00DD66C7" w:rsidP="009A1BCA">
      <w:pPr>
        <w:pStyle w:val="ListParagraph"/>
        <w:numPr>
          <w:ilvl w:val="1"/>
          <w:numId w:val="4"/>
        </w:numPr>
        <w:tabs>
          <w:tab w:val="left" w:pos="6361"/>
        </w:tabs>
        <w:jc w:val="both"/>
      </w:pPr>
      <w:r>
        <w:t xml:space="preserve">Name </w:t>
      </w:r>
    </w:p>
    <w:p w:rsidR="00DD66C7" w:rsidRDefault="00DD66C7" w:rsidP="009A1BCA">
      <w:pPr>
        <w:pStyle w:val="ListParagraph"/>
        <w:numPr>
          <w:ilvl w:val="1"/>
          <w:numId w:val="4"/>
        </w:numPr>
        <w:tabs>
          <w:tab w:val="left" w:pos="6361"/>
        </w:tabs>
        <w:jc w:val="both"/>
      </w:pPr>
      <w:r>
        <w:t>Address</w:t>
      </w:r>
    </w:p>
    <w:p w:rsidR="00DD66C7" w:rsidRDefault="00DD66C7" w:rsidP="009A1BCA">
      <w:pPr>
        <w:pStyle w:val="ListParagraph"/>
        <w:numPr>
          <w:ilvl w:val="1"/>
          <w:numId w:val="4"/>
        </w:numPr>
        <w:tabs>
          <w:tab w:val="left" w:pos="6361"/>
        </w:tabs>
        <w:jc w:val="both"/>
      </w:pPr>
      <w:r>
        <w:t>Status</w:t>
      </w:r>
    </w:p>
    <w:p w:rsidR="00DD66C7" w:rsidRDefault="00DD66C7" w:rsidP="009A1BCA">
      <w:pPr>
        <w:pStyle w:val="ListParagraph"/>
        <w:numPr>
          <w:ilvl w:val="1"/>
          <w:numId w:val="4"/>
        </w:numPr>
        <w:tabs>
          <w:tab w:val="left" w:pos="6361"/>
        </w:tabs>
        <w:jc w:val="both"/>
      </w:pPr>
      <w:r>
        <w:t>Country</w:t>
      </w:r>
    </w:p>
    <w:p w:rsidR="00DD66C7" w:rsidRDefault="00DD66C7" w:rsidP="009A1BCA">
      <w:pPr>
        <w:pStyle w:val="ListParagraph"/>
        <w:numPr>
          <w:ilvl w:val="1"/>
          <w:numId w:val="4"/>
        </w:numPr>
        <w:tabs>
          <w:tab w:val="left" w:pos="6361"/>
        </w:tabs>
        <w:jc w:val="both"/>
      </w:pPr>
      <w:r>
        <w:t>Principal Place of Business</w:t>
      </w:r>
    </w:p>
    <w:p w:rsidR="00DD66C7" w:rsidRDefault="00DD66C7" w:rsidP="009A1BCA">
      <w:pPr>
        <w:pStyle w:val="ListParagraph"/>
        <w:numPr>
          <w:ilvl w:val="0"/>
          <w:numId w:val="4"/>
        </w:numPr>
        <w:tabs>
          <w:tab w:val="left" w:pos="6361"/>
        </w:tabs>
        <w:jc w:val="both"/>
      </w:pPr>
      <w:r>
        <w:t>Details of Remittance:</w:t>
      </w:r>
    </w:p>
    <w:p w:rsidR="00DD66C7" w:rsidRDefault="00DD66C7" w:rsidP="009A1BCA">
      <w:pPr>
        <w:pStyle w:val="ListParagraph"/>
        <w:numPr>
          <w:ilvl w:val="1"/>
          <w:numId w:val="4"/>
        </w:numPr>
        <w:tabs>
          <w:tab w:val="left" w:pos="6361"/>
        </w:tabs>
        <w:jc w:val="both"/>
      </w:pPr>
      <w:r>
        <w:t>Country to which remittance is being made</w:t>
      </w:r>
    </w:p>
    <w:p w:rsidR="00DD66C7" w:rsidRDefault="00DD66C7" w:rsidP="009A1BCA">
      <w:pPr>
        <w:pStyle w:val="ListParagraph"/>
        <w:numPr>
          <w:ilvl w:val="1"/>
          <w:numId w:val="4"/>
        </w:numPr>
        <w:tabs>
          <w:tab w:val="left" w:pos="6361"/>
        </w:tabs>
        <w:jc w:val="both"/>
      </w:pPr>
      <w:r>
        <w:t>Currency in which remittance is being made</w:t>
      </w:r>
    </w:p>
    <w:p w:rsidR="00DD66C7" w:rsidRDefault="00DD66C7" w:rsidP="009A1BCA">
      <w:pPr>
        <w:pStyle w:val="ListParagraph"/>
        <w:numPr>
          <w:ilvl w:val="1"/>
          <w:numId w:val="4"/>
        </w:numPr>
        <w:tabs>
          <w:tab w:val="left" w:pos="6361"/>
        </w:tabs>
        <w:jc w:val="both"/>
      </w:pPr>
      <w:r>
        <w:t>Amount of remittance in designated foreign currency and INR</w:t>
      </w:r>
    </w:p>
    <w:p w:rsidR="00DD66C7" w:rsidRDefault="00DD66C7" w:rsidP="009A1BCA">
      <w:pPr>
        <w:pStyle w:val="ListParagraph"/>
        <w:numPr>
          <w:ilvl w:val="1"/>
          <w:numId w:val="4"/>
        </w:numPr>
        <w:tabs>
          <w:tab w:val="left" w:pos="6361"/>
        </w:tabs>
        <w:jc w:val="both"/>
      </w:pPr>
      <w:r>
        <w:t>Proposed date of remittance</w:t>
      </w:r>
    </w:p>
    <w:p w:rsidR="00DD66C7" w:rsidRDefault="00DD66C7" w:rsidP="009A1BCA">
      <w:pPr>
        <w:pStyle w:val="ListParagraph"/>
        <w:numPr>
          <w:ilvl w:val="1"/>
          <w:numId w:val="4"/>
        </w:numPr>
        <w:tabs>
          <w:tab w:val="left" w:pos="6361"/>
        </w:tabs>
        <w:jc w:val="both"/>
      </w:pPr>
      <w:r>
        <w:t>Nature of remittance as per agreement</w:t>
      </w:r>
    </w:p>
    <w:p w:rsidR="00A65589" w:rsidRDefault="00A65589" w:rsidP="009A1BCA">
      <w:pPr>
        <w:pStyle w:val="ListParagraph"/>
        <w:numPr>
          <w:ilvl w:val="1"/>
          <w:numId w:val="4"/>
        </w:numPr>
        <w:tabs>
          <w:tab w:val="left" w:pos="6361"/>
        </w:tabs>
        <w:jc w:val="both"/>
      </w:pPr>
      <w:r>
        <w:t xml:space="preserve">Details of TDS deducted </w:t>
      </w:r>
    </w:p>
    <w:p w:rsidR="00DD66C7" w:rsidRDefault="00DD66C7" w:rsidP="009A1BCA">
      <w:pPr>
        <w:pStyle w:val="ListParagraph"/>
        <w:numPr>
          <w:ilvl w:val="0"/>
          <w:numId w:val="4"/>
        </w:numPr>
        <w:tabs>
          <w:tab w:val="left" w:pos="6361"/>
        </w:tabs>
        <w:jc w:val="both"/>
      </w:pPr>
      <w:r>
        <w:t>Bank Details of Remitter</w:t>
      </w:r>
    </w:p>
    <w:p w:rsidR="00DD66C7" w:rsidRDefault="00DD66C7" w:rsidP="009A1BCA">
      <w:pPr>
        <w:pStyle w:val="ListParagraph"/>
        <w:numPr>
          <w:ilvl w:val="1"/>
          <w:numId w:val="4"/>
        </w:numPr>
        <w:tabs>
          <w:tab w:val="left" w:pos="6361"/>
        </w:tabs>
        <w:jc w:val="both"/>
      </w:pPr>
      <w:r>
        <w:t>Name and Address of the Bank</w:t>
      </w:r>
    </w:p>
    <w:p w:rsidR="00DD66C7" w:rsidRDefault="00DD66C7" w:rsidP="009A1BCA">
      <w:pPr>
        <w:pStyle w:val="ListParagraph"/>
        <w:numPr>
          <w:ilvl w:val="1"/>
          <w:numId w:val="4"/>
        </w:numPr>
        <w:tabs>
          <w:tab w:val="left" w:pos="6361"/>
        </w:tabs>
        <w:jc w:val="both"/>
      </w:pPr>
      <w:r>
        <w:t>BSR Code</w:t>
      </w:r>
    </w:p>
    <w:p w:rsidR="00DD66C7" w:rsidRDefault="00A65589" w:rsidP="009A1BCA">
      <w:pPr>
        <w:pStyle w:val="ListParagraph"/>
        <w:numPr>
          <w:ilvl w:val="0"/>
          <w:numId w:val="4"/>
        </w:numPr>
        <w:tabs>
          <w:tab w:val="left" w:pos="6361"/>
        </w:tabs>
        <w:jc w:val="both"/>
      </w:pPr>
      <w:r>
        <w:t>Signatory Details</w:t>
      </w:r>
    </w:p>
    <w:p w:rsidR="00A65589" w:rsidRDefault="00A65589" w:rsidP="009A1BCA">
      <w:pPr>
        <w:pStyle w:val="ListParagraph"/>
        <w:numPr>
          <w:ilvl w:val="1"/>
          <w:numId w:val="4"/>
        </w:numPr>
        <w:tabs>
          <w:tab w:val="left" w:pos="6361"/>
        </w:tabs>
        <w:jc w:val="both"/>
      </w:pPr>
      <w:r>
        <w:t>Name of the Signatory</w:t>
      </w:r>
    </w:p>
    <w:p w:rsidR="00A65589" w:rsidRDefault="00A65589" w:rsidP="009A1BCA">
      <w:pPr>
        <w:pStyle w:val="ListParagraph"/>
        <w:numPr>
          <w:ilvl w:val="1"/>
          <w:numId w:val="4"/>
        </w:numPr>
        <w:tabs>
          <w:tab w:val="left" w:pos="6361"/>
        </w:tabs>
        <w:jc w:val="both"/>
      </w:pPr>
      <w:r>
        <w:t>Father’s Name of the Signatory</w:t>
      </w:r>
    </w:p>
    <w:p w:rsidR="00A65589" w:rsidRDefault="00A65589" w:rsidP="009A1BCA">
      <w:pPr>
        <w:pStyle w:val="ListParagraph"/>
        <w:numPr>
          <w:ilvl w:val="1"/>
          <w:numId w:val="4"/>
        </w:numPr>
        <w:tabs>
          <w:tab w:val="left" w:pos="6361"/>
        </w:tabs>
        <w:jc w:val="both"/>
      </w:pPr>
      <w:r>
        <w:t>Designation of the Signatory</w:t>
      </w:r>
    </w:p>
    <w:p w:rsidR="00AB752E" w:rsidRDefault="00AB752E" w:rsidP="00A850DF">
      <w:pPr>
        <w:tabs>
          <w:tab w:val="left" w:pos="6361"/>
        </w:tabs>
        <w:spacing w:line="360" w:lineRule="auto"/>
        <w:jc w:val="both"/>
      </w:pPr>
      <w:r>
        <w:t xml:space="preserve">You can get in touch with us for all your queries and concerns in relation to above at </w:t>
      </w:r>
      <w:hyperlink r:id="rId5" w:history="1">
        <w:r w:rsidR="00D61EAD">
          <w:rPr>
            <w:rStyle w:val="Hyperlink"/>
          </w:rPr>
          <w:t>info@dcstax.in</w:t>
        </w:r>
      </w:hyperlink>
      <w:r w:rsidR="00D61EAD">
        <w:t xml:space="preserve"> or visit us at </w:t>
      </w:r>
      <w:hyperlink r:id="rId6" w:history="1">
        <w:r w:rsidR="00D61EAD" w:rsidRPr="001B5043">
          <w:rPr>
            <w:rStyle w:val="Hyperlink"/>
          </w:rPr>
          <w:t>www.dcstax.in</w:t>
        </w:r>
      </w:hyperlink>
      <w:r w:rsidR="00D61EAD">
        <w:tab/>
      </w:r>
      <w:r>
        <w:t xml:space="preserve"> </w:t>
      </w:r>
    </w:p>
    <w:p w:rsidR="00AB752E" w:rsidRDefault="00AB752E" w:rsidP="00A850DF">
      <w:pPr>
        <w:shd w:val="clear" w:color="auto" w:fill="FFFFFF"/>
        <w:spacing w:after="0" w:line="360" w:lineRule="auto"/>
        <w:rPr>
          <w:rFonts w:ascii="Arial" w:eastAsia="Times New Roman" w:hAnsi="Arial" w:cs="Arial"/>
          <w:color w:val="222222"/>
          <w:sz w:val="16"/>
          <w:szCs w:val="16"/>
        </w:rPr>
      </w:pPr>
      <w:r>
        <w:rPr>
          <w:rFonts w:ascii="Arial" w:eastAsia="Times New Roman" w:hAnsi="Arial" w:cs="Arial"/>
          <w:noProof/>
          <w:color w:val="222222"/>
          <w:sz w:val="16"/>
          <w:szCs w:val="16"/>
        </w:rPr>
        <w:drawing>
          <wp:inline distT="0" distB="0" distL="0" distR="0">
            <wp:extent cx="1199056" cy="826935"/>
            <wp:effectExtent l="19050" t="0" r="1094"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198338" cy="826440"/>
                    </a:xfrm>
                    <a:prstGeom prst="rect">
                      <a:avLst/>
                    </a:prstGeom>
                  </pic:spPr>
                </pic:pic>
              </a:graphicData>
            </a:graphic>
          </wp:inline>
        </w:drawing>
      </w:r>
    </w:p>
    <w:p w:rsidR="00AB752E" w:rsidRPr="00AB752E" w:rsidRDefault="00AB752E" w:rsidP="00A850DF">
      <w:pPr>
        <w:shd w:val="clear" w:color="auto" w:fill="FFFFFF"/>
        <w:spacing w:after="0" w:line="360" w:lineRule="auto"/>
        <w:rPr>
          <w:rFonts w:ascii="Arial" w:eastAsia="Times New Roman" w:hAnsi="Arial" w:cs="Arial"/>
          <w:color w:val="222222"/>
          <w:sz w:val="16"/>
          <w:szCs w:val="16"/>
        </w:rPr>
      </w:pPr>
    </w:p>
    <w:p w:rsidR="00AB752E" w:rsidRPr="00C91E38" w:rsidRDefault="00AB752E" w:rsidP="00A850DF">
      <w:pPr>
        <w:shd w:val="clear" w:color="auto" w:fill="FFFFFF"/>
        <w:spacing w:after="0" w:line="360" w:lineRule="auto"/>
        <w:rPr>
          <w:rFonts w:ascii="Calibri" w:eastAsia="Times New Roman" w:hAnsi="Calibri" w:cs="Calibri"/>
          <w:color w:val="00B0F0"/>
          <w:sz w:val="16"/>
          <w:szCs w:val="16"/>
        </w:rPr>
      </w:pPr>
      <w:r w:rsidRPr="00C91E38">
        <w:rPr>
          <w:rFonts w:ascii="Arial Black" w:eastAsia="Times New Roman" w:hAnsi="Arial Black" w:cs="Calibri"/>
          <w:b/>
          <w:bCs/>
          <w:color w:val="00B0F0"/>
          <w:sz w:val="24"/>
          <w:szCs w:val="24"/>
        </w:rPr>
        <w:t>Dudhoria Consultancy Services Pvt. Ltd.</w:t>
      </w:r>
    </w:p>
    <w:p w:rsidR="00AB752E" w:rsidRPr="00C91E38" w:rsidRDefault="00AB752E" w:rsidP="00A850DF">
      <w:pPr>
        <w:shd w:val="clear" w:color="auto" w:fill="FFFFFF"/>
        <w:spacing w:after="0" w:line="360" w:lineRule="auto"/>
        <w:rPr>
          <w:rFonts w:ascii="Arial Black" w:eastAsia="Times New Roman" w:hAnsi="Arial Black" w:cs="Calibri"/>
          <w:color w:val="00B0F0"/>
          <w:sz w:val="15"/>
          <w:szCs w:val="15"/>
        </w:rPr>
      </w:pPr>
      <w:r w:rsidRPr="00C91E38">
        <w:rPr>
          <w:rFonts w:ascii="Arial Black" w:eastAsia="Times New Roman" w:hAnsi="Arial Black" w:cs="Calibri"/>
          <w:color w:val="00B0F0"/>
          <w:sz w:val="15"/>
          <w:szCs w:val="15"/>
        </w:rPr>
        <w:t xml:space="preserve">56, Netaji Subhas Road, 4th Floor, Kolkata </w:t>
      </w:r>
      <w:r w:rsidR="00C91E38" w:rsidRPr="00C91E38">
        <w:rPr>
          <w:rFonts w:ascii="Arial Black" w:eastAsia="Times New Roman" w:hAnsi="Arial Black" w:cs="Calibri"/>
          <w:color w:val="00B0F0"/>
          <w:sz w:val="15"/>
          <w:szCs w:val="15"/>
        </w:rPr>
        <w:t>–</w:t>
      </w:r>
      <w:r w:rsidRPr="00C91E38">
        <w:rPr>
          <w:rFonts w:ascii="Arial Black" w:eastAsia="Times New Roman" w:hAnsi="Arial Black" w:cs="Calibri"/>
          <w:color w:val="00B0F0"/>
          <w:sz w:val="15"/>
          <w:szCs w:val="15"/>
        </w:rPr>
        <w:t xml:space="preserve"> 700001</w:t>
      </w:r>
    </w:p>
    <w:p w:rsidR="00AB752E" w:rsidRPr="009A1BCA" w:rsidRDefault="00C91E38" w:rsidP="009A1BCA">
      <w:pPr>
        <w:shd w:val="clear" w:color="auto" w:fill="FFFFFF"/>
        <w:spacing w:after="0" w:line="360" w:lineRule="auto"/>
        <w:rPr>
          <w:rFonts w:ascii="Calibri" w:eastAsia="Times New Roman" w:hAnsi="Calibri" w:cs="Calibri"/>
          <w:color w:val="00B0F0"/>
          <w:sz w:val="16"/>
          <w:szCs w:val="16"/>
        </w:rPr>
      </w:pPr>
      <w:r w:rsidRPr="00C91E38">
        <w:rPr>
          <w:rFonts w:ascii="Arial Black" w:eastAsia="Times New Roman" w:hAnsi="Arial Black" w:cs="Calibri"/>
          <w:color w:val="00B0F0"/>
          <w:sz w:val="15"/>
          <w:szCs w:val="15"/>
        </w:rPr>
        <w:t xml:space="preserve">E-mail us @ </w:t>
      </w:r>
      <w:hyperlink r:id="rId8" w:history="1">
        <w:r w:rsidRPr="00C91E38">
          <w:rPr>
            <w:rStyle w:val="Hyperlink"/>
            <w:rFonts w:ascii="Arial Black" w:eastAsia="Times New Roman" w:hAnsi="Arial Black" w:cs="Calibri"/>
            <w:color w:val="00B0F0"/>
            <w:sz w:val="15"/>
            <w:szCs w:val="15"/>
          </w:rPr>
          <w:t>info@dcstax.in</w:t>
        </w:r>
      </w:hyperlink>
      <w:r w:rsidRPr="00C91E38">
        <w:rPr>
          <w:rFonts w:ascii="Arial Black" w:eastAsia="Times New Roman" w:hAnsi="Arial Black" w:cs="Calibri"/>
          <w:color w:val="00B0F0"/>
          <w:sz w:val="15"/>
          <w:szCs w:val="15"/>
        </w:rPr>
        <w:t xml:space="preserve"> / </w:t>
      </w:r>
      <w:hyperlink r:id="rId9" w:history="1">
        <w:r w:rsidRPr="00C91E38">
          <w:rPr>
            <w:rStyle w:val="Hyperlink"/>
            <w:rFonts w:ascii="Arial Black" w:eastAsia="Times New Roman" w:hAnsi="Arial Black" w:cs="Calibri"/>
            <w:color w:val="00B0F0"/>
            <w:sz w:val="15"/>
            <w:szCs w:val="15"/>
          </w:rPr>
          <w:t>taxdcs@gmail.com</w:t>
        </w:r>
      </w:hyperlink>
      <w:r w:rsidRPr="00C91E38">
        <w:rPr>
          <w:rFonts w:ascii="Arial Black" w:eastAsia="Times New Roman" w:hAnsi="Arial Black" w:cs="Calibri"/>
          <w:color w:val="00B0F0"/>
          <w:sz w:val="15"/>
          <w:szCs w:val="15"/>
        </w:rPr>
        <w:tab/>
      </w:r>
    </w:p>
    <w:sectPr w:rsidR="00AB752E" w:rsidRPr="009A1BCA" w:rsidSect="00AB7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D59"/>
    <w:multiLevelType w:val="hybridMultilevel"/>
    <w:tmpl w:val="459A8660"/>
    <w:lvl w:ilvl="0" w:tplc="C6625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4370E"/>
    <w:multiLevelType w:val="hybridMultilevel"/>
    <w:tmpl w:val="F11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930BE"/>
    <w:multiLevelType w:val="hybridMultilevel"/>
    <w:tmpl w:val="7018A3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660E5"/>
    <w:multiLevelType w:val="hybridMultilevel"/>
    <w:tmpl w:val="25D22CF8"/>
    <w:lvl w:ilvl="0" w:tplc="43C4320A">
      <w:start w:val="3"/>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8B610E"/>
    <w:rsid w:val="00031A53"/>
    <w:rsid w:val="00141F74"/>
    <w:rsid w:val="00153394"/>
    <w:rsid w:val="0015565E"/>
    <w:rsid w:val="00184E0D"/>
    <w:rsid w:val="001A0B94"/>
    <w:rsid w:val="00307057"/>
    <w:rsid w:val="00354B63"/>
    <w:rsid w:val="00463665"/>
    <w:rsid w:val="004C0131"/>
    <w:rsid w:val="005201A0"/>
    <w:rsid w:val="005B1F0D"/>
    <w:rsid w:val="005F4364"/>
    <w:rsid w:val="00624B4D"/>
    <w:rsid w:val="00801766"/>
    <w:rsid w:val="008B610E"/>
    <w:rsid w:val="008E57FE"/>
    <w:rsid w:val="009A1BCA"/>
    <w:rsid w:val="009B6BAD"/>
    <w:rsid w:val="00A24672"/>
    <w:rsid w:val="00A65589"/>
    <w:rsid w:val="00A850DF"/>
    <w:rsid w:val="00AB1D1F"/>
    <w:rsid w:val="00AB752E"/>
    <w:rsid w:val="00B04962"/>
    <w:rsid w:val="00B907A4"/>
    <w:rsid w:val="00B979C0"/>
    <w:rsid w:val="00C57241"/>
    <w:rsid w:val="00C91E38"/>
    <w:rsid w:val="00CD5652"/>
    <w:rsid w:val="00D05FB7"/>
    <w:rsid w:val="00D14173"/>
    <w:rsid w:val="00D61EAD"/>
    <w:rsid w:val="00DD66C7"/>
    <w:rsid w:val="00E01C11"/>
    <w:rsid w:val="00EA1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1"/>
        <o:r id="V:Rule5" type="connector" idref="#_x0000_s1033"/>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131"/>
  </w:style>
  <w:style w:type="paragraph" w:styleId="NormalWeb">
    <w:name w:val="Normal (Web)"/>
    <w:basedOn w:val="Normal"/>
    <w:uiPriority w:val="99"/>
    <w:semiHidden/>
    <w:unhideWhenUsed/>
    <w:rsid w:val="004C01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A53"/>
    <w:pPr>
      <w:ind w:left="720"/>
      <w:contextualSpacing/>
    </w:pPr>
  </w:style>
  <w:style w:type="paragraph" w:styleId="BalloonText">
    <w:name w:val="Balloon Text"/>
    <w:basedOn w:val="Normal"/>
    <w:link w:val="BalloonTextChar"/>
    <w:uiPriority w:val="99"/>
    <w:semiHidden/>
    <w:unhideWhenUsed/>
    <w:rsid w:val="0014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74"/>
    <w:rPr>
      <w:rFonts w:ascii="Tahoma" w:hAnsi="Tahoma" w:cs="Tahoma"/>
      <w:sz w:val="16"/>
      <w:szCs w:val="16"/>
    </w:rPr>
  </w:style>
  <w:style w:type="character" w:styleId="Hyperlink">
    <w:name w:val="Hyperlink"/>
    <w:basedOn w:val="DefaultParagraphFont"/>
    <w:uiPriority w:val="99"/>
    <w:unhideWhenUsed/>
    <w:rsid w:val="00AB75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631158">
      <w:bodyDiv w:val="1"/>
      <w:marLeft w:val="0"/>
      <w:marRight w:val="0"/>
      <w:marTop w:val="0"/>
      <w:marBottom w:val="0"/>
      <w:divBdr>
        <w:top w:val="none" w:sz="0" w:space="0" w:color="auto"/>
        <w:left w:val="none" w:sz="0" w:space="0" w:color="auto"/>
        <w:bottom w:val="none" w:sz="0" w:space="0" w:color="auto"/>
        <w:right w:val="none" w:sz="0" w:space="0" w:color="auto"/>
      </w:divBdr>
      <w:divsChild>
        <w:div w:id="1082215977">
          <w:marLeft w:val="0"/>
          <w:marRight w:val="0"/>
          <w:marTop w:val="0"/>
          <w:marBottom w:val="0"/>
          <w:divBdr>
            <w:top w:val="none" w:sz="0" w:space="0" w:color="auto"/>
            <w:left w:val="none" w:sz="0" w:space="0" w:color="auto"/>
            <w:bottom w:val="none" w:sz="0" w:space="0" w:color="auto"/>
            <w:right w:val="none" w:sz="0" w:space="0" w:color="auto"/>
          </w:divBdr>
        </w:div>
        <w:div w:id="403643735">
          <w:marLeft w:val="0"/>
          <w:marRight w:val="0"/>
          <w:marTop w:val="0"/>
          <w:marBottom w:val="0"/>
          <w:divBdr>
            <w:top w:val="none" w:sz="0" w:space="0" w:color="auto"/>
            <w:left w:val="none" w:sz="0" w:space="0" w:color="auto"/>
            <w:bottom w:val="none" w:sz="0" w:space="0" w:color="auto"/>
            <w:right w:val="none" w:sz="0" w:space="0" w:color="auto"/>
          </w:divBdr>
          <w:divsChild>
            <w:div w:id="344795217">
              <w:marLeft w:val="0"/>
              <w:marRight w:val="0"/>
              <w:marTop w:val="0"/>
              <w:marBottom w:val="0"/>
              <w:divBdr>
                <w:top w:val="none" w:sz="0" w:space="0" w:color="auto"/>
                <w:left w:val="none" w:sz="0" w:space="0" w:color="auto"/>
                <w:bottom w:val="none" w:sz="0" w:space="0" w:color="auto"/>
                <w:right w:val="none" w:sz="0" w:space="0" w:color="auto"/>
              </w:divBdr>
            </w:div>
            <w:div w:id="774790449">
              <w:marLeft w:val="0"/>
              <w:marRight w:val="0"/>
              <w:marTop w:val="0"/>
              <w:marBottom w:val="0"/>
              <w:divBdr>
                <w:top w:val="none" w:sz="0" w:space="0" w:color="auto"/>
                <w:left w:val="none" w:sz="0" w:space="0" w:color="auto"/>
                <w:bottom w:val="none" w:sz="0" w:space="0" w:color="auto"/>
                <w:right w:val="none" w:sz="0" w:space="0" w:color="auto"/>
              </w:divBdr>
            </w:div>
            <w:div w:id="14254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8370">
      <w:bodyDiv w:val="1"/>
      <w:marLeft w:val="0"/>
      <w:marRight w:val="0"/>
      <w:marTop w:val="0"/>
      <w:marBottom w:val="0"/>
      <w:divBdr>
        <w:top w:val="none" w:sz="0" w:space="0" w:color="auto"/>
        <w:left w:val="none" w:sz="0" w:space="0" w:color="auto"/>
        <w:bottom w:val="none" w:sz="0" w:space="0" w:color="auto"/>
        <w:right w:val="none" w:sz="0" w:space="0" w:color="auto"/>
      </w:divBdr>
    </w:div>
    <w:div w:id="2078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stax.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stax.in" TargetMode="External"/><Relationship Id="rId11" Type="http://schemas.openxmlformats.org/officeDocument/2006/relationships/theme" Target="theme/theme1.xml"/><Relationship Id="rId5" Type="http://schemas.openxmlformats.org/officeDocument/2006/relationships/hyperlink" Target="http://www.dcstax.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xd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Sambhav</cp:lastModifiedBy>
  <cp:revision>6</cp:revision>
  <dcterms:created xsi:type="dcterms:W3CDTF">2015-10-06T20:43:00Z</dcterms:created>
  <dcterms:modified xsi:type="dcterms:W3CDTF">2015-11-16T08:53:00Z</dcterms:modified>
</cp:coreProperties>
</file>