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1B3" w:rsidRPr="00CC0A82" w:rsidRDefault="00481BD6" w:rsidP="001063FF">
      <w:pPr>
        <w:rPr>
          <w:b/>
          <w:sz w:val="44"/>
          <w:szCs w:val="44"/>
          <w:u w:val="single"/>
        </w:rPr>
      </w:pPr>
      <w:r w:rsidRPr="00CC0A82">
        <w:rPr>
          <w:b/>
          <w:sz w:val="44"/>
          <w:szCs w:val="44"/>
          <w:u w:val="single"/>
        </w:rPr>
        <w:t>Presumptive Taxation Scheme</w:t>
      </w:r>
      <w:r w:rsidR="001063FF">
        <w:rPr>
          <w:b/>
          <w:sz w:val="44"/>
          <w:szCs w:val="44"/>
          <w:u w:val="single"/>
        </w:rPr>
        <w:t xml:space="preserve"> u/s 44AD</w:t>
      </w:r>
    </w:p>
    <w:p w:rsidR="001063FF" w:rsidRPr="001063FF" w:rsidRDefault="00037FB6" w:rsidP="001063FF">
      <w:r w:rsidRPr="00CC0A82">
        <w:t xml:space="preserve">To provide relief to small businessmen, the Income Tax Department has incorporated schemes in the Income Tax Law which exempt the assessees from maintaining proper books of accounts and getting them audited. These schemes, more commonly known as Presumptive Taxation Schemes are provided in Section 44AD of the Income Tax Act, 1961. </w:t>
      </w:r>
    </w:p>
    <w:p w:rsidR="00481BD6" w:rsidRPr="00CC0A82" w:rsidRDefault="00037FB6" w:rsidP="001063FF">
      <w:r w:rsidRPr="00CC0A82">
        <w:t xml:space="preserve">The </w:t>
      </w:r>
      <w:r w:rsidRPr="00CC0A82">
        <w:rPr>
          <w:b/>
        </w:rPr>
        <w:t xml:space="preserve">core text of law </w:t>
      </w:r>
      <w:r w:rsidRPr="00CC0A82">
        <w:t>of Section 44AD is reproduced below:</w:t>
      </w:r>
    </w:p>
    <w:p w:rsidR="00037FB6" w:rsidRPr="00CC0A82" w:rsidRDefault="00037FB6" w:rsidP="001063FF">
      <w:pPr>
        <w:pStyle w:val="tx"/>
        <w:shd w:val="clear" w:color="auto" w:fill="FFFFFF"/>
        <w:spacing w:before="0" w:beforeAutospacing="0" w:after="80" w:afterAutospacing="0" w:line="276" w:lineRule="auto"/>
        <w:jc w:val="both"/>
        <w:rPr>
          <w:rFonts w:asciiTheme="minorHAnsi" w:hAnsiTheme="minorHAnsi" w:cstheme="minorHAnsi"/>
          <w:sz w:val="22"/>
          <w:szCs w:val="22"/>
        </w:rPr>
      </w:pPr>
      <w:r w:rsidRPr="00CC0A82">
        <w:rPr>
          <w:rFonts w:asciiTheme="minorHAnsi" w:hAnsiTheme="minorHAnsi" w:cstheme="minorHAnsi"/>
          <w:sz w:val="22"/>
          <w:szCs w:val="22"/>
        </w:rPr>
        <w:t>(1) Notwithstanding anything to the contrary contained in</w:t>
      </w:r>
      <w:r w:rsidRPr="00CC0A82">
        <w:rPr>
          <w:rStyle w:val="apple-converted-space"/>
          <w:rFonts w:asciiTheme="minorHAnsi" w:hAnsiTheme="minorHAnsi" w:cstheme="minorHAnsi"/>
          <w:sz w:val="22"/>
          <w:szCs w:val="22"/>
        </w:rPr>
        <w:t> </w:t>
      </w:r>
      <w:hyperlink r:id="rId5" w:history="1">
        <w:r w:rsidRPr="00CC0A82">
          <w:rPr>
            <w:rStyle w:val="Hyperlink"/>
            <w:rFonts w:asciiTheme="minorHAnsi" w:hAnsiTheme="minorHAnsi" w:cstheme="minorHAnsi"/>
            <w:color w:val="auto"/>
            <w:sz w:val="22"/>
            <w:szCs w:val="22"/>
            <w:u w:val="none"/>
          </w:rPr>
          <w:t>sections 28</w:t>
        </w:r>
      </w:hyperlink>
      <w:r w:rsidRPr="00CC0A82">
        <w:rPr>
          <w:rStyle w:val="apple-converted-space"/>
          <w:rFonts w:asciiTheme="minorHAnsi" w:hAnsiTheme="minorHAnsi" w:cstheme="minorHAnsi"/>
          <w:sz w:val="22"/>
          <w:szCs w:val="22"/>
        </w:rPr>
        <w:t> </w:t>
      </w:r>
      <w:r w:rsidRPr="00CC0A82">
        <w:rPr>
          <w:rFonts w:asciiTheme="minorHAnsi" w:hAnsiTheme="minorHAnsi" w:cstheme="minorHAnsi"/>
          <w:sz w:val="22"/>
          <w:szCs w:val="22"/>
        </w:rPr>
        <w:t>to</w:t>
      </w:r>
      <w:r w:rsidRPr="00CC0A82">
        <w:rPr>
          <w:rStyle w:val="apple-converted-space"/>
          <w:rFonts w:asciiTheme="minorHAnsi" w:hAnsiTheme="minorHAnsi" w:cstheme="minorHAnsi"/>
          <w:sz w:val="22"/>
          <w:szCs w:val="22"/>
        </w:rPr>
        <w:t> </w:t>
      </w:r>
      <w:hyperlink r:id="rId6" w:history="1">
        <w:r w:rsidRPr="00CC0A82">
          <w:rPr>
            <w:rStyle w:val="Hyperlink"/>
            <w:rFonts w:asciiTheme="minorHAnsi" w:hAnsiTheme="minorHAnsi" w:cstheme="minorHAnsi"/>
            <w:color w:val="auto"/>
            <w:sz w:val="22"/>
            <w:szCs w:val="22"/>
            <w:u w:val="none"/>
          </w:rPr>
          <w:t>43C</w:t>
        </w:r>
      </w:hyperlink>
      <w:r w:rsidRPr="00CC0A82">
        <w:rPr>
          <w:rFonts w:asciiTheme="minorHAnsi" w:hAnsiTheme="minorHAnsi" w:cstheme="minorHAnsi"/>
          <w:sz w:val="22"/>
          <w:szCs w:val="22"/>
        </w:rPr>
        <w:t>, in the case of an eligible assessee engaged in an eligible business, a sum equal to eight per cent of the total turnover or gross receipts of the assessee in the previous year on account of such business or, as the case may be, a sum higher than the aforesaid sum claimed to have been earned by the eligible assessee, shall be deemed to be the profits and gains of such business chargeable to tax under the head "Profits and gains of business or profession".</w:t>
      </w:r>
    </w:p>
    <w:p w:rsidR="00037FB6" w:rsidRPr="00CC0A82" w:rsidRDefault="00037FB6" w:rsidP="001063FF">
      <w:pPr>
        <w:pStyle w:val="tx"/>
        <w:shd w:val="clear" w:color="auto" w:fill="FFFFFF"/>
        <w:spacing w:before="0" w:beforeAutospacing="0" w:after="80" w:afterAutospacing="0" w:line="276" w:lineRule="auto"/>
        <w:jc w:val="both"/>
        <w:rPr>
          <w:rFonts w:asciiTheme="minorHAnsi" w:hAnsiTheme="minorHAnsi" w:cstheme="minorHAnsi"/>
          <w:sz w:val="22"/>
          <w:szCs w:val="22"/>
        </w:rPr>
      </w:pPr>
      <w:r w:rsidRPr="00CC0A82">
        <w:rPr>
          <w:rFonts w:asciiTheme="minorHAnsi" w:hAnsiTheme="minorHAnsi" w:cstheme="minorHAnsi"/>
          <w:sz w:val="22"/>
          <w:szCs w:val="22"/>
        </w:rPr>
        <w:t>(2) Any deduction allowable under the provisions of</w:t>
      </w:r>
      <w:r w:rsidRPr="00CC0A82">
        <w:rPr>
          <w:rStyle w:val="apple-converted-space"/>
          <w:rFonts w:asciiTheme="minorHAnsi" w:hAnsiTheme="minorHAnsi" w:cstheme="minorHAnsi"/>
          <w:sz w:val="22"/>
          <w:szCs w:val="22"/>
        </w:rPr>
        <w:t> </w:t>
      </w:r>
      <w:hyperlink r:id="rId7" w:history="1">
        <w:r w:rsidRPr="00CC0A82">
          <w:rPr>
            <w:rStyle w:val="Hyperlink"/>
            <w:rFonts w:asciiTheme="minorHAnsi" w:hAnsiTheme="minorHAnsi" w:cstheme="minorHAnsi"/>
            <w:color w:val="auto"/>
            <w:sz w:val="22"/>
            <w:szCs w:val="22"/>
            <w:u w:val="none"/>
          </w:rPr>
          <w:t>sections 30</w:t>
        </w:r>
      </w:hyperlink>
      <w:r w:rsidRPr="00CC0A82">
        <w:rPr>
          <w:rStyle w:val="apple-converted-space"/>
          <w:rFonts w:asciiTheme="minorHAnsi" w:hAnsiTheme="minorHAnsi" w:cstheme="minorHAnsi"/>
          <w:sz w:val="22"/>
          <w:szCs w:val="22"/>
        </w:rPr>
        <w:t> </w:t>
      </w:r>
      <w:r w:rsidRPr="00CC0A82">
        <w:rPr>
          <w:rFonts w:asciiTheme="minorHAnsi" w:hAnsiTheme="minorHAnsi" w:cstheme="minorHAnsi"/>
          <w:sz w:val="22"/>
          <w:szCs w:val="22"/>
        </w:rPr>
        <w:t>to</w:t>
      </w:r>
      <w:r w:rsidRPr="00CC0A82">
        <w:rPr>
          <w:rStyle w:val="apple-converted-space"/>
          <w:rFonts w:asciiTheme="minorHAnsi" w:hAnsiTheme="minorHAnsi" w:cstheme="minorHAnsi"/>
          <w:sz w:val="22"/>
          <w:szCs w:val="22"/>
        </w:rPr>
        <w:t> </w:t>
      </w:r>
      <w:hyperlink r:id="rId8" w:history="1">
        <w:r w:rsidRPr="00CC0A82">
          <w:rPr>
            <w:rStyle w:val="Hyperlink"/>
            <w:rFonts w:asciiTheme="minorHAnsi" w:hAnsiTheme="minorHAnsi" w:cstheme="minorHAnsi"/>
            <w:color w:val="auto"/>
            <w:sz w:val="22"/>
            <w:szCs w:val="22"/>
            <w:u w:val="none"/>
          </w:rPr>
          <w:t>38</w:t>
        </w:r>
      </w:hyperlink>
      <w:r w:rsidRPr="00CC0A82">
        <w:rPr>
          <w:rStyle w:val="apple-converted-space"/>
          <w:rFonts w:asciiTheme="minorHAnsi" w:hAnsiTheme="minorHAnsi" w:cstheme="minorHAnsi"/>
          <w:sz w:val="22"/>
          <w:szCs w:val="22"/>
        </w:rPr>
        <w:t> </w:t>
      </w:r>
      <w:r w:rsidRPr="00CC0A82">
        <w:rPr>
          <w:rFonts w:asciiTheme="minorHAnsi" w:hAnsiTheme="minorHAnsi" w:cstheme="minorHAnsi"/>
          <w:sz w:val="22"/>
          <w:szCs w:val="22"/>
        </w:rPr>
        <w:t xml:space="preserve">shall, for the purposes of sub-section (1), be deemed to have been already given full effect to and no further deduction under those sections shall be </w:t>
      </w:r>
      <w:proofErr w:type="gramStart"/>
      <w:r w:rsidRPr="00CC0A82">
        <w:rPr>
          <w:rFonts w:asciiTheme="minorHAnsi" w:hAnsiTheme="minorHAnsi" w:cstheme="minorHAnsi"/>
          <w:sz w:val="22"/>
          <w:szCs w:val="22"/>
        </w:rPr>
        <w:t>allowed :</w:t>
      </w:r>
      <w:proofErr w:type="gramEnd"/>
    </w:p>
    <w:p w:rsidR="00037FB6" w:rsidRPr="00CC0A82" w:rsidRDefault="00037FB6" w:rsidP="001063FF">
      <w:pPr>
        <w:pStyle w:val="tx"/>
        <w:shd w:val="clear" w:color="auto" w:fill="FFFFFF"/>
        <w:spacing w:before="0" w:beforeAutospacing="0" w:after="80" w:afterAutospacing="0" w:line="276" w:lineRule="auto"/>
        <w:jc w:val="both"/>
        <w:rPr>
          <w:rFonts w:asciiTheme="minorHAnsi" w:hAnsiTheme="minorHAnsi" w:cstheme="minorHAnsi"/>
          <w:sz w:val="22"/>
          <w:szCs w:val="22"/>
        </w:rPr>
      </w:pPr>
      <w:r w:rsidRPr="00CC0A82">
        <w:rPr>
          <w:rFonts w:asciiTheme="minorHAnsi" w:hAnsiTheme="minorHAnsi" w:cstheme="minorHAnsi"/>
          <w:b/>
          <w:bCs/>
          <w:sz w:val="22"/>
          <w:szCs w:val="22"/>
        </w:rPr>
        <w:t>Provided</w:t>
      </w:r>
      <w:r w:rsidRPr="00CC0A82">
        <w:rPr>
          <w:rStyle w:val="apple-converted-space"/>
          <w:rFonts w:asciiTheme="minorHAnsi" w:hAnsiTheme="minorHAnsi" w:cstheme="minorHAnsi"/>
          <w:sz w:val="22"/>
          <w:szCs w:val="22"/>
        </w:rPr>
        <w:t> </w:t>
      </w:r>
      <w:r w:rsidRPr="00CC0A82">
        <w:rPr>
          <w:rFonts w:asciiTheme="minorHAnsi" w:hAnsiTheme="minorHAnsi" w:cstheme="minorHAnsi"/>
          <w:sz w:val="22"/>
          <w:szCs w:val="22"/>
        </w:rPr>
        <w:t>that where the eligible assessee is a firm, the salary and interest paid to its partners shall be deducted from the income computed under sub-section (1) subject to the conditions and limits specified in clause (</w:t>
      </w:r>
      <w:r w:rsidRPr="00CC0A82">
        <w:rPr>
          <w:rFonts w:asciiTheme="minorHAnsi" w:hAnsiTheme="minorHAnsi" w:cstheme="minorHAnsi"/>
          <w:i/>
          <w:iCs/>
          <w:sz w:val="22"/>
          <w:szCs w:val="22"/>
        </w:rPr>
        <w:t>b</w:t>
      </w:r>
      <w:r w:rsidRPr="00CC0A82">
        <w:rPr>
          <w:rFonts w:asciiTheme="minorHAnsi" w:hAnsiTheme="minorHAnsi" w:cstheme="minorHAnsi"/>
          <w:sz w:val="22"/>
          <w:szCs w:val="22"/>
        </w:rPr>
        <w:t>) of</w:t>
      </w:r>
      <w:r w:rsidRPr="00CC0A82">
        <w:rPr>
          <w:rStyle w:val="apple-converted-space"/>
          <w:rFonts w:asciiTheme="minorHAnsi" w:hAnsiTheme="minorHAnsi" w:cstheme="minorHAnsi"/>
          <w:sz w:val="22"/>
          <w:szCs w:val="22"/>
        </w:rPr>
        <w:t> </w:t>
      </w:r>
      <w:hyperlink r:id="rId9" w:history="1">
        <w:r w:rsidRPr="00CC0A82">
          <w:rPr>
            <w:rStyle w:val="Hyperlink"/>
            <w:rFonts w:asciiTheme="minorHAnsi" w:hAnsiTheme="minorHAnsi" w:cstheme="minorHAnsi"/>
            <w:color w:val="auto"/>
            <w:sz w:val="22"/>
            <w:szCs w:val="22"/>
            <w:u w:val="none"/>
          </w:rPr>
          <w:t>section 40</w:t>
        </w:r>
      </w:hyperlink>
      <w:r w:rsidRPr="00CC0A82">
        <w:rPr>
          <w:rFonts w:asciiTheme="minorHAnsi" w:hAnsiTheme="minorHAnsi" w:cstheme="minorHAnsi"/>
          <w:sz w:val="22"/>
          <w:szCs w:val="22"/>
        </w:rPr>
        <w:t>.</w:t>
      </w:r>
    </w:p>
    <w:p w:rsidR="00037FB6" w:rsidRPr="00CC0A82" w:rsidRDefault="00037FB6" w:rsidP="001063FF">
      <w:pPr>
        <w:pStyle w:val="tx"/>
        <w:shd w:val="clear" w:color="auto" w:fill="FFFFFF"/>
        <w:spacing w:before="0" w:beforeAutospacing="0" w:after="80" w:afterAutospacing="0" w:line="276" w:lineRule="auto"/>
        <w:jc w:val="both"/>
        <w:rPr>
          <w:rFonts w:asciiTheme="minorHAnsi" w:hAnsiTheme="minorHAnsi" w:cstheme="minorHAnsi"/>
          <w:sz w:val="22"/>
          <w:szCs w:val="22"/>
        </w:rPr>
      </w:pPr>
      <w:r w:rsidRPr="00CC0A82">
        <w:rPr>
          <w:rFonts w:asciiTheme="minorHAnsi" w:hAnsiTheme="minorHAnsi" w:cstheme="minorHAnsi"/>
          <w:sz w:val="22"/>
          <w:szCs w:val="22"/>
        </w:rPr>
        <w:t>(3) The written down value of any asset of an eligible business shall be deemed to have been calculated as if the eligible assessee had claimed and had been actually allowed the deduction in respect of the depreciation for each of the relevant assessment years.</w:t>
      </w:r>
    </w:p>
    <w:p w:rsidR="00037FB6" w:rsidRPr="00CC0A82" w:rsidRDefault="00037FB6" w:rsidP="001063FF">
      <w:pPr>
        <w:pStyle w:val="tx"/>
        <w:shd w:val="clear" w:color="auto" w:fill="FFFFFF"/>
        <w:spacing w:before="0" w:beforeAutospacing="0" w:after="80" w:afterAutospacing="0" w:line="276" w:lineRule="auto"/>
        <w:jc w:val="both"/>
        <w:rPr>
          <w:rFonts w:asciiTheme="minorHAnsi" w:hAnsiTheme="minorHAnsi" w:cstheme="minorHAnsi"/>
          <w:sz w:val="22"/>
          <w:szCs w:val="22"/>
        </w:rPr>
      </w:pPr>
      <w:r w:rsidRPr="00CC0A82">
        <w:rPr>
          <w:rFonts w:asciiTheme="minorHAnsi" w:hAnsiTheme="minorHAnsi" w:cstheme="minorHAnsi"/>
          <w:sz w:val="22"/>
          <w:szCs w:val="22"/>
        </w:rPr>
        <w:t>(4) The provisions of Chapter XVII-C shall not apply to an eligible assessee in so far as they relate to the eligible business.</w:t>
      </w:r>
    </w:p>
    <w:p w:rsidR="00037FB6" w:rsidRPr="00CC0A82" w:rsidRDefault="00037FB6" w:rsidP="001063FF">
      <w:pPr>
        <w:pStyle w:val="tx"/>
        <w:shd w:val="clear" w:color="auto" w:fill="FFFFFF"/>
        <w:spacing w:before="0" w:beforeAutospacing="0" w:after="80" w:afterAutospacing="0" w:line="276" w:lineRule="auto"/>
        <w:jc w:val="both"/>
        <w:rPr>
          <w:rFonts w:asciiTheme="minorHAnsi" w:hAnsiTheme="minorHAnsi" w:cstheme="minorHAnsi"/>
          <w:sz w:val="22"/>
          <w:szCs w:val="22"/>
        </w:rPr>
      </w:pPr>
      <w:r w:rsidRPr="00CC0A82">
        <w:rPr>
          <w:rFonts w:asciiTheme="minorHAnsi" w:hAnsiTheme="minorHAnsi" w:cstheme="minorHAnsi"/>
          <w:sz w:val="22"/>
          <w:szCs w:val="22"/>
        </w:rPr>
        <w:t>(5) Notwithstanding anything contained in the foregoing provisions of this section, an eligible assessee who claims that his profits and gains from the eligible business are lower than the profits and gains specified in sub-section (1) and whose total income exceeds the maximum amount which is not chargeable to income-tax, shall be required to keep and maintain such books of account and other documents as required under sub-section (2) of</w:t>
      </w:r>
      <w:r w:rsidRPr="00CC0A82">
        <w:rPr>
          <w:rStyle w:val="apple-converted-space"/>
          <w:rFonts w:asciiTheme="minorHAnsi" w:hAnsiTheme="minorHAnsi" w:cstheme="minorHAnsi"/>
          <w:sz w:val="22"/>
          <w:szCs w:val="22"/>
        </w:rPr>
        <w:t> </w:t>
      </w:r>
      <w:hyperlink r:id="rId10" w:history="1">
        <w:r w:rsidRPr="00CC0A82">
          <w:rPr>
            <w:rStyle w:val="Hyperlink"/>
            <w:rFonts w:asciiTheme="minorHAnsi" w:hAnsiTheme="minorHAnsi" w:cstheme="minorHAnsi"/>
            <w:color w:val="auto"/>
            <w:sz w:val="22"/>
            <w:szCs w:val="22"/>
            <w:u w:val="none"/>
          </w:rPr>
          <w:t>section 44AA</w:t>
        </w:r>
      </w:hyperlink>
      <w:r w:rsidRPr="00CC0A82">
        <w:rPr>
          <w:rStyle w:val="apple-converted-space"/>
          <w:rFonts w:asciiTheme="minorHAnsi" w:hAnsiTheme="minorHAnsi" w:cstheme="minorHAnsi"/>
          <w:sz w:val="22"/>
          <w:szCs w:val="22"/>
        </w:rPr>
        <w:t> </w:t>
      </w:r>
      <w:r w:rsidRPr="00CC0A82">
        <w:rPr>
          <w:rFonts w:asciiTheme="minorHAnsi" w:hAnsiTheme="minorHAnsi" w:cstheme="minorHAnsi"/>
          <w:sz w:val="22"/>
          <w:szCs w:val="22"/>
        </w:rPr>
        <w:t>and get them audited and furnish a report of such audit as required under</w:t>
      </w:r>
      <w:r w:rsidRPr="00CC0A82">
        <w:rPr>
          <w:rStyle w:val="apple-converted-space"/>
          <w:rFonts w:asciiTheme="minorHAnsi" w:hAnsiTheme="minorHAnsi" w:cstheme="minorHAnsi"/>
          <w:sz w:val="22"/>
          <w:szCs w:val="22"/>
        </w:rPr>
        <w:t> </w:t>
      </w:r>
      <w:hyperlink r:id="rId11" w:history="1">
        <w:r w:rsidRPr="00CC0A82">
          <w:rPr>
            <w:rStyle w:val="Hyperlink"/>
            <w:rFonts w:asciiTheme="minorHAnsi" w:hAnsiTheme="minorHAnsi" w:cstheme="minorHAnsi"/>
            <w:color w:val="auto"/>
            <w:sz w:val="22"/>
            <w:szCs w:val="22"/>
            <w:u w:val="none"/>
          </w:rPr>
          <w:t>section 44AB</w:t>
        </w:r>
      </w:hyperlink>
      <w:r w:rsidRPr="00CC0A82">
        <w:rPr>
          <w:rFonts w:asciiTheme="minorHAnsi" w:hAnsiTheme="minorHAnsi" w:cstheme="minorHAnsi"/>
          <w:sz w:val="22"/>
          <w:szCs w:val="22"/>
        </w:rPr>
        <w:t>.</w:t>
      </w:r>
    </w:p>
    <w:p w:rsidR="00037FB6" w:rsidRPr="00CC0A82" w:rsidRDefault="00037FB6" w:rsidP="001063FF">
      <w:pPr>
        <w:pStyle w:val="tx"/>
        <w:shd w:val="clear" w:color="auto" w:fill="FFFFFF"/>
        <w:spacing w:before="0" w:beforeAutospacing="0" w:after="80" w:afterAutospacing="0" w:line="276" w:lineRule="auto"/>
        <w:jc w:val="both"/>
        <w:rPr>
          <w:rFonts w:asciiTheme="minorHAnsi" w:hAnsiTheme="minorHAnsi" w:cstheme="minorHAnsi"/>
          <w:sz w:val="22"/>
          <w:szCs w:val="22"/>
        </w:rPr>
      </w:pPr>
      <w:r w:rsidRPr="00CC0A82">
        <w:rPr>
          <w:rFonts w:asciiTheme="minorHAnsi" w:hAnsiTheme="minorHAnsi" w:cstheme="minorHAnsi"/>
          <w:sz w:val="22"/>
          <w:szCs w:val="22"/>
        </w:rPr>
        <w:t>(6) The provisions of this section, notwithstanding anything contained in the foregoing provisions, shall not apply to—</w:t>
      </w:r>
    </w:p>
    <w:p w:rsidR="00037FB6" w:rsidRPr="00CC0A82" w:rsidRDefault="00037FB6" w:rsidP="001063FF">
      <w:pPr>
        <w:pStyle w:val="indent1a"/>
        <w:shd w:val="clear" w:color="auto" w:fill="FFFFFF"/>
        <w:spacing w:before="0" w:beforeAutospacing="0" w:after="80" w:afterAutospacing="0" w:line="276" w:lineRule="auto"/>
        <w:ind w:left="794" w:hanging="397"/>
        <w:jc w:val="both"/>
        <w:rPr>
          <w:rFonts w:asciiTheme="minorHAnsi" w:hAnsiTheme="minorHAnsi" w:cstheme="minorHAnsi"/>
          <w:sz w:val="22"/>
          <w:szCs w:val="22"/>
        </w:rPr>
      </w:pPr>
      <w:r w:rsidRPr="00CC0A82">
        <w:rPr>
          <w:rFonts w:asciiTheme="minorHAnsi" w:hAnsiTheme="minorHAnsi" w:cstheme="minorHAnsi"/>
          <w:sz w:val="22"/>
          <w:szCs w:val="22"/>
        </w:rPr>
        <w:t>(</w:t>
      </w:r>
      <w:proofErr w:type="spellStart"/>
      <w:r w:rsidRPr="00CC0A82">
        <w:rPr>
          <w:rFonts w:asciiTheme="minorHAnsi" w:hAnsiTheme="minorHAnsi" w:cstheme="minorHAnsi"/>
          <w:i/>
          <w:iCs/>
          <w:sz w:val="22"/>
          <w:szCs w:val="22"/>
        </w:rPr>
        <w:t>i</w:t>
      </w:r>
      <w:proofErr w:type="spellEnd"/>
      <w:r w:rsidRPr="00CC0A82">
        <w:rPr>
          <w:rFonts w:asciiTheme="minorHAnsi" w:hAnsiTheme="minorHAnsi" w:cstheme="minorHAnsi"/>
          <w:sz w:val="22"/>
          <w:szCs w:val="22"/>
        </w:rPr>
        <w:t xml:space="preserve">) </w:t>
      </w:r>
      <w:proofErr w:type="gramStart"/>
      <w:r w:rsidRPr="00CC0A82">
        <w:rPr>
          <w:rFonts w:asciiTheme="minorHAnsi" w:hAnsiTheme="minorHAnsi" w:cstheme="minorHAnsi"/>
          <w:sz w:val="22"/>
          <w:szCs w:val="22"/>
        </w:rPr>
        <w:t>a</w:t>
      </w:r>
      <w:proofErr w:type="gramEnd"/>
      <w:r w:rsidRPr="00CC0A82">
        <w:rPr>
          <w:rFonts w:asciiTheme="minorHAnsi" w:hAnsiTheme="minorHAnsi" w:cstheme="minorHAnsi"/>
          <w:sz w:val="22"/>
          <w:szCs w:val="22"/>
        </w:rPr>
        <w:t xml:space="preserve"> person carrying on profession as referred to in sub-section (1) of</w:t>
      </w:r>
      <w:r w:rsidRPr="00CC0A82">
        <w:rPr>
          <w:rStyle w:val="apple-converted-space"/>
          <w:rFonts w:asciiTheme="minorHAnsi" w:hAnsiTheme="minorHAnsi" w:cstheme="minorHAnsi"/>
          <w:sz w:val="22"/>
          <w:szCs w:val="22"/>
        </w:rPr>
        <w:t> </w:t>
      </w:r>
      <w:hyperlink r:id="rId12" w:history="1">
        <w:r w:rsidRPr="00CC0A82">
          <w:rPr>
            <w:rStyle w:val="Hyperlink"/>
            <w:rFonts w:asciiTheme="minorHAnsi" w:hAnsiTheme="minorHAnsi" w:cstheme="minorHAnsi"/>
            <w:color w:val="auto"/>
            <w:sz w:val="22"/>
            <w:szCs w:val="22"/>
            <w:u w:val="none"/>
          </w:rPr>
          <w:t>section 44AA</w:t>
        </w:r>
      </w:hyperlink>
      <w:r w:rsidRPr="00CC0A82">
        <w:rPr>
          <w:rFonts w:asciiTheme="minorHAnsi" w:hAnsiTheme="minorHAnsi" w:cstheme="minorHAnsi"/>
          <w:sz w:val="22"/>
          <w:szCs w:val="22"/>
        </w:rPr>
        <w:t>;</w:t>
      </w:r>
    </w:p>
    <w:p w:rsidR="00037FB6" w:rsidRPr="00CC0A82" w:rsidRDefault="00037FB6" w:rsidP="001063FF">
      <w:pPr>
        <w:pStyle w:val="indent1a"/>
        <w:shd w:val="clear" w:color="auto" w:fill="FFFFFF"/>
        <w:spacing w:before="0" w:beforeAutospacing="0" w:after="80" w:afterAutospacing="0" w:line="276" w:lineRule="auto"/>
        <w:ind w:left="794" w:hanging="397"/>
        <w:jc w:val="both"/>
        <w:rPr>
          <w:rFonts w:asciiTheme="minorHAnsi" w:hAnsiTheme="minorHAnsi" w:cstheme="minorHAnsi"/>
          <w:sz w:val="22"/>
          <w:szCs w:val="22"/>
        </w:rPr>
      </w:pPr>
      <w:r w:rsidRPr="00CC0A82">
        <w:rPr>
          <w:rFonts w:asciiTheme="minorHAnsi" w:hAnsiTheme="minorHAnsi" w:cstheme="minorHAnsi"/>
          <w:sz w:val="22"/>
          <w:szCs w:val="22"/>
        </w:rPr>
        <w:t>(</w:t>
      </w:r>
      <w:r w:rsidRPr="00CC0A82">
        <w:rPr>
          <w:rFonts w:asciiTheme="minorHAnsi" w:hAnsiTheme="minorHAnsi" w:cstheme="minorHAnsi"/>
          <w:i/>
          <w:iCs/>
          <w:sz w:val="22"/>
          <w:szCs w:val="22"/>
        </w:rPr>
        <w:t>ii</w:t>
      </w:r>
      <w:r w:rsidRPr="00CC0A82">
        <w:rPr>
          <w:rFonts w:asciiTheme="minorHAnsi" w:hAnsiTheme="minorHAnsi" w:cstheme="minorHAnsi"/>
          <w:sz w:val="22"/>
          <w:szCs w:val="22"/>
        </w:rPr>
        <w:t xml:space="preserve">) </w:t>
      </w:r>
      <w:proofErr w:type="gramStart"/>
      <w:r w:rsidRPr="00CC0A82">
        <w:rPr>
          <w:rFonts w:asciiTheme="minorHAnsi" w:hAnsiTheme="minorHAnsi" w:cstheme="minorHAnsi"/>
          <w:sz w:val="22"/>
          <w:szCs w:val="22"/>
        </w:rPr>
        <w:t>a</w:t>
      </w:r>
      <w:proofErr w:type="gramEnd"/>
      <w:r w:rsidRPr="00CC0A82">
        <w:rPr>
          <w:rFonts w:asciiTheme="minorHAnsi" w:hAnsiTheme="minorHAnsi" w:cstheme="minorHAnsi"/>
          <w:sz w:val="22"/>
          <w:szCs w:val="22"/>
        </w:rPr>
        <w:t xml:space="preserve"> person earning income in the nature of commission or brokerage; or</w:t>
      </w:r>
    </w:p>
    <w:p w:rsidR="00037FB6" w:rsidRPr="00CC0A82" w:rsidRDefault="00037FB6" w:rsidP="001063FF">
      <w:pPr>
        <w:pStyle w:val="indent1a"/>
        <w:shd w:val="clear" w:color="auto" w:fill="FFFFFF"/>
        <w:spacing w:before="0" w:beforeAutospacing="0" w:after="80" w:afterAutospacing="0" w:line="276" w:lineRule="auto"/>
        <w:ind w:left="794" w:hanging="397"/>
        <w:jc w:val="both"/>
        <w:rPr>
          <w:rFonts w:asciiTheme="minorHAnsi" w:hAnsiTheme="minorHAnsi" w:cstheme="minorHAnsi"/>
          <w:sz w:val="22"/>
          <w:szCs w:val="22"/>
        </w:rPr>
      </w:pPr>
      <w:r w:rsidRPr="00CC0A82">
        <w:rPr>
          <w:rFonts w:asciiTheme="minorHAnsi" w:hAnsiTheme="minorHAnsi" w:cstheme="minorHAnsi"/>
          <w:sz w:val="22"/>
          <w:szCs w:val="22"/>
        </w:rPr>
        <w:t>(</w:t>
      </w:r>
      <w:r w:rsidRPr="00CC0A82">
        <w:rPr>
          <w:rFonts w:asciiTheme="minorHAnsi" w:hAnsiTheme="minorHAnsi" w:cstheme="minorHAnsi"/>
          <w:i/>
          <w:iCs/>
          <w:sz w:val="22"/>
          <w:szCs w:val="22"/>
        </w:rPr>
        <w:t>iii</w:t>
      </w:r>
      <w:r w:rsidRPr="00CC0A82">
        <w:rPr>
          <w:rFonts w:asciiTheme="minorHAnsi" w:hAnsiTheme="minorHAnsi" w:cstheme="minorHAnsi"/>
          <w:sz w:val="22"/>
          <w:szCs w:val="22"/>
        </w:rPr>
        <w:t xml:space="preserve">) </w:t>
      </w:r>
      <w:proofErr w:type="gramStart"/>
      <w:r w:rsidRPr="00CC0A82">
        <w:rPr>
          <w:rFonts w:asciiTheme="minorHAnsi" w:hAnsiTheme="minorHAnsi" w:cstheme="minorHAnsi"/>
          <w:sz w:val="22"/>
          <w:szCs w:val="22"/>
        </w:rPr>
        <w:t>a</w:t>
      </w:r>
      <w:proofErr w:type="gramEnd"/>
      <w:r w:rsidRPr="00CC0A82">
        <w:rPr>
          <w:rFonts w:asciiTheme="minorHAnsi" w:hAnsiTheme="minorHAnsi" w:cstheme="minorHAnsi"/>
          <w:sz w:val="22"/>
          <w:szCs w:val="22"/>
        </w:rPr>
        <w:t xml:space="preserve"> person carrying on any agency business.</w:t>
      </w:r>
    </w:p>
    <w:p w:rsidR="00037FB6" w:rsidRPr="00CC0A82" w:rsidRDefault="00037FB6" w:rsidP="001063FF">
      <w:pPr>
        <w:pStyle w:val="tx"/>
        <w:shd w:val="clear" w:color="auto" w:fill="FFFFFF"/>
        <w:spacing w:before="0" w:beforeAutospacing="0" w:after="80" w:afterAutospacing="0" w:line="276" w:lineRule="auto"/>
        <w:jc w:val="both"/>
        <w:rPr>
          <w:rFonts w:asciiTheme="minorHAnsi" w:hAnsiTheme="minorHAnsi" w:cstheme="minorHAnsi"/>
          <w:sz w:val="22"/>
          <w:szCs w:val="22"/>
        </w:rPr>
      </w:pPr>
      <w:r w:rsidRPr="00CC0A82">
        <w:rPr>
          <w:rFonts w:asciiTheme="minorHAnsi" w:hAnsiTheme="minorHAnsi" w:cstheme="minorHAnsi"/>
          <w:i/>
          <w:iCs/>
          <w:sz w:val="22"/>
          <w:szCs w:val="22"/>
        </w:rPr>
        <w:t>Explanation.</w:t>
      </w:r>
      <w:r w:rsidRPr="00CC0A82">
        <w:rPr>
          <w:rFonts w:asciiTheme="minorHAnsi" w:hAnsiTheme="minorHAnsi" w:cstheme="minorHAnsi"/>
          <w:sz w:val="22"/>
          <w:szCs w:val="22"/>
        </w:rPr>
        <w:t>—</w:t>
      </w:r>
      <w:proofErr w:type="gramStart"/>
      <w:r w:rsidRPr="00CC0A82">
        <w:rPr>
          <w:rFonts w:asciiTheme="minorHAnsi" w:hAnsiTheme="minorHAnsi" w:cstheme="minorHAnsi"/>
          <w:sz w:val="22"/>
          <w:szCs w:val="22"/>
        </w:rPr>
        <w:t>For</w:t>
      </w:r>
      <w:proofErr w:type="gramEnd"/>
      <w:r w:rsidRPr="00CC0A82">
        <w:rPr>
          <w:rFonts w:asciiTheme="minorHAnsi" w:hAnsiTheme="minorHAnsi" w:cstheme="minorHAnsi"/>
          <w:sz w:val="22"/>
          <w:szCs w:val="22"/>
        </w:rPr>
        <w:t xml:space="preserve"> the purposes of this section,—</w:t>
      </w:r>
    </w:p>
    <w:p w:rsidR="00037FB6" w:rsidRPr="00CC0A82" w:rsidRDefault="00037FB6" w:rsidP="001063FF">
      <w:pPr>
        <w:pStyle w:val="indent1a"/>
        <w:shd w:val="clear" w:color="auto" w:fill="FFFFFF"/>
        <w:spacing w:before="0" w:beforeAutospacing="0" w:after="80" w:afterAutospacing="0" w:line="276" w:lineRule="auto"/>
        <w:ind w:left="794" w:hanging="397"/>
        <w:jc w:val="both"/>
        <w:rPr>
          <w:rFonts w:asciiTheme="minorHAnsi" w:hAnsiTheme="minorHAnsi" w:cstheme="minorHAnsi"/>
          <w:sz w:val="22"/>
          <w:szCs w:val="22"/>
        </w:rPr>
      </w:pPr>
      <w:r w:rsidRPr="00CC0A82">
        <w:rPr>
          <w:rFonts w:asciiTheme="minorHAnsi" w:hAnsiTheme="minorHAnsi" w:cstheme="minorHAnsi"/>
          <w:sz w:val="22"/>
          <w:szCs w:val="22"/>
        </w:rPr>
        <w:t>(</w:t>
      </w:r>
      <w:r w:rsidRPr="00CC0A82">
        <w:rPr>
          <w:rFonts w:asciiTheme="minorHAnsi" w:hAnsiTheme="minorHAnsi" w:cstheme="minorHAnsi"/>
          <w:i/>
          <w:iCs/>
          <w:sz w:val="22"/>
          <w:szCs w:val="22"/>
        </w:rPr>
        <w:t>a</w:t>
      </w:r>
      <w:r w:rsidRPr="00CC0A82">
        <w:rPr>
          <w:rFonts w:asciiTheme="minorHAnsi" w:hAnsiTheme="minorHAnsi" w:cstheme="minorHAnsi"/>
          <w:sz w:val="22"/>
          <w:szCs w:val="22"/>
        </w:rPr>
        <w:t>) "</w:t>
      </w:r>
      <w:proofErr w:type="gramStart"/>
      <w:r w:rsidRPr="00CC0A82">
        <w:rPr>
          <w:rFonts w:asciiTheme="minorHAnsi" w:hAnsiTheme="minorHAnsi" w:cstheme="minorHAnsi"/>
          <w:sz w:val="22"/>
          <w:szCs w:val="22"/>
        </w:rPr>
        <w:t>eligible</w:t>
      </w:r>
      <w:proofErr w:type="gramEnd"/>
      <w:r w:rsidRPr="00CC0A82">
        <w:rPr>
          <w:rFonts w:asciiTheme="minorHAnsi" w:hAnsiTheme="minorHAnsi" w:cstheme="minorHAnsi"/>
          <w:sz w:val="22"/>
          <w:szCs w:val="22"/>
        </w:rPr>
        <w:t xml:space="preserve"> assessee" means,—</w:t>
      </w:r>
    </w:p>
    <w:p w:rsidR="00037FB6" w:rsidRPr="00CC0A82" w:rsidRDefault="00037FB6" w:rsidP="001063FF">
      <w:pPr>
        <w:pStyle w:val="indent2"/>
        <w:shd w:val="clear" w:color="auto" w:fill="FFFFFF"/>
        <w:spacing w:before="0" w:beforeAutospacing="0" w:after="80" w:afterAutospacing="0" w:line="276" w:lineRule="auto"/>
        <w:ind w:left="1170" w:hanging="377"/>
        <w:jc w:val="both"/>
        <w:rPr>
          <w:rFonts w:asciiTheme="minorHAnsi" w:hAnsiTheme="minorHAnsi" w:cstheme="minorHAnsi"/>
          <w:sz w:val="22"/>
          <w:szCs w:val="22"/>
        </w:rPr>
      </w:pPr>
      <w:r w:rsidRPr="00CC0A82">
        <w:rPr>
          <w:rFonts w:asciiTheme="minorHAnsi" w:hAnsiTheme="minorHAnsi" w:cstheme="minorHAnsi"/>
          <w:sz w:val="22"/>
          <w:szCs w:val="22"/>
        </w:rPr>
        <w:lastRenderedPageBreak/>
        <w:t> (</w:t>
      </w:r>
      <w:proofErr w:type="spellStart"/>
      <w:r w:rsidRPr="00CC0A82">
        <w:rPr>
          <w:rFonts w:asciiTheme="minorHAnsi" w:hAnsiTheme="minorHAnsi" w:cstheme="minorHAnsi"/>
          <w:i/>
          <w:iCs/>
          <w:sz w:val="22"/>
          <w:szCs w:val="22"/>
        </w:rPr>
        <w:t>i</w:t>
      </w:r>
      <w:proofErr w:type="spellEnd"/>
      <w:r w:rsidRPr="00CC0A82">
        <w:rPr>
          <w:rFonts w:asciiTheme="minorHAnsi" w:hAnsiTheme="minorHAnsi" w:cstheme="minorHAnsi"/>
          <w:sz w:val="22"/>
          <w:szCs w:val="22"/>
        </w:rPr>
        <w:t>)  an individual, Hindu undivided family or a partnership firm, who is a resident, but not a limited liability partnership firm as defined under clause (</w:t>
      </w:r>
      <w:r w:rsidRPr="00CC0A82">
        <w:rPr>
          <w:rFonts w:asciiTheme="minorHAnsi" w:hAnsiTheme="minorHAnsi" w:cstheme="minorHAnsi"/>
          <w:i/>
          <w:iCs/>
          <w:sz w:val="22"/>
          <w:szCs w:val="22"/>
        </w:rPr>
        <w:t>n</w:t>
      </w:r>
      <w:r w:rsidRPr="00CC0A82">
        <w:rPr>
          <w:rFonts w:asciiTheme="minorHAnsi" w:hAnsiTheme="minorHAnsi" w:cstheme="minorHAnsi"/>
          <w:sz w:val="22"/>
          <w:szCs w:val="22"/>
        </w:rPr>
        <w:t>) of sub-section (1) of section 2 of the Limited Liability Partnership Act, 2008 (6 of 2009); and</w:t>
      </w:r>
    </w:p>
    <w:p w:rsidR="00037FB6" w:rsidRPr="00CC0A82" w:rsidRDefault="00037FB6" w:rsidP="001063FF">
      <w:pPr>
        <w:pStyle w:val="indent2"/>
        <w:shd w:val="clear" w:color="auto" w:fill="FFFFFF"/>
        <w:spacing w:before="0" w:beforeAutospacing="0" w:after="80" w:afterAutospacing="0" w:line="276" w:lineRule="auto"/>
        <w:ind w:left="1170" w:hanging="377"/>
        <w:jc w:val="both"/>
        <w:rPr>
          <w:rFonts w:asciiTheme="minorHAnsi" w:hAnsiTheme="minorHAnsi" w:cstheme="minorHAnsi"/>
          <w:sz w:val="22"/>
          <w:szCs w:val="22"/>
        </w:rPr>
      </w:pPr>
      <w:r w:rsidRPr="00CC0A82">
        <w:rPr>
          <w:rFonts w:asciiTheme="minorHAnsi" w:hAnsiTheme="minorHAnsi" w:cstheme="minorHAnsi"/>
          <w:sz w:val="22"/>
          <w:szCs w:val="22"/>
        </w:rPr>
        <w:t>(</w:t>
      </w:r>
      <w:r w:rsidRPr="00CC0A82">
        <w:rPr>
          <w:rFonts w:asciiTheme="minorHAnsi" w:hAnsiTheme="minorHAnsi" w:cstheme="minorHAnsi"/>
          <w:i/>
          <w:iCs/>
          <w:sz w:val="22"/>
          <w:szCs w:val="22"/>
        </w:rPr>
        <w:t>ii</w:t>
      </w:r>
      <w:r w:rsidRPr="00CC0A82">
        <w:rPr>
          <w:rFonts w:asciiTheme="minorHAnsi" w:hAnsiTheme="minorHAnsi" w:cstheme="minorHAnsi"/>
          <w:sz w:val="22"/>
          <w:szCs w:val="22"/>
        </w:rPr>
        <w:t>) who has not claimed deduction under any of the</w:t>
      </w:r>
      <w:r w:rsidRPr="00CC0A82">
        <w:rPr>
          <w:rStyle w:val="apple-converted-space"/>
          <w:rFonts w:asciiTheme="minorHAnsi" w:hAnsiTheme="minorHAnsi" w:cstheme="minorHAnsi"/>
          <w:sz w:val="22"/>
          <w:szCs w:val="22"/>
        </w:rPr>
        <w:t> </w:t>
      </w:r>
      <w:hyperlink r:id="rId13" w:history="1">
        <w:r w:rsidRPr="00CC0A82">
          <w:rPr>
            <w:rStyle w:val="Hyperlink"/>
            <w:rFonts w:asciiTheme="minorHAnsi" w:hAnsiTheme="minorHAnsi" w:cstheme="minorHAnsi"/>
            <w:color w:val="auto"/>
            <w:sz w:val="22"/>
            <w:szCs w:val="22"/>
            <w:u w:val="none"/>
          </w:rPr>
          <w:t>sections 10A</w:t>
        </w:r>
      </w:hyperlink>
      <w:r w:rsidRPr="00CC0A82">
        <w:rPr>
          <w:rFonts w:asciiTheme="minorHAnsi" w:hAnsiTheme="minorHAnsi" w:cstheme="minorHAnsi"/>
          <w:sz w:val="22"/>
          <w:szCs w:val="22"/>
        </w:rPr>
        <w:t>,</w:t>
      </w:r>
      <w:r w:rsidRPr="00CC0A82">
        <w:rPr>
          <w:rStyle w:val="apple-converted-space"/>
          <w:rFonts w:asciiTheme="minorHAnsi" w:hAnsiTheme="minorHAnsi" w:cstheme="minorHAnsi"/>
          <w:sz w:val="22"/>
          <w:szCs w:val="22"/>
        </w:rPr>
        <w:t> </w:t>
      </w:r>
      <w:hyperlink r:id="rId14" w:history="1">
        <w:r w:rsidRPr="00CC0A82">
          <w:rPr>
            <w:rStyle w:val="Hyperlink"/>
            <w:rFonts w:asciiTheme="minorHAnsi" w:hAnsiTheme="minorHAnsi" w:cstheme="minorHAnsi"/>
            <w:color w:val="auto"/>
            <w:sz w:val="22"/>
            <w:szCs w:val="22"/>
            <w:u w:val="none"/>
          </w:rPr>
          <w:t>10AA</w:t>
        </w:r>
      </w:hyperlink>
      <w:r w:rsidRPr="00CC0A82">
        <w:rPr>
          <w:rFonts w:asciiTheme="minorHAnsi" w:hAnsiTheme="minorHAnsi" w:cstheme="minorHAnsi"/>
          <w:sz w:val="22"/>
          <w:szCs w:val="22"/>
        </w:rPr>
        <w:t>,</w:t>
      </w:r>
      <w:r w:rsidRPr="00CC0A82">
        <w:rPr>
          <w:rStyle w:val="apple-converted-space"/>
          <w:rFonts w:asciiTheme="minorHAnsi" w:hAnsiTheme="minorHAnsi" w:cstheme="minorHAnsi"/>
          <w:sz w:val="22"/>
          <w:szCs w:val="22"/>
        </w:rPr>
        <w:t> </w:t>
      </w:r>
      <w:hyperlink r:id="rId15" w:history="1">
        <w:r w:rsidRPr="00CC0A82">
          <w:rPr>
            <w:rStyle w:val="Hyperlink"/>
            <w:rFonts w:asciiTheme="minorHAnsi" w:hAnsiTheme="minorHAnsi" w:cstheme="minorHAnsi"/>
            <w:color w:val="auto"/>
            <w:sz w:val="22"/>
            <w:szCs w:val="22"/>
            <w:u w:val="none"/>
          </w:rPr>
          <w:t>10B</w:t>
        </w:r>
      </w:hyperlink>
      <w:r w:rsidRPr="00CC0A82">
        <w:rPr>
          <w:rFonts w:asciiTheme="minorHAnsi" w:hAnsiTheme="minorHAnsi" w:cstheme="minorHAnsi"/>
          <w:sz w:val="22"/>
          <w:szCs w:val="22"/>
        </w:rPr>
        <w:t>,</w:t>
      </w:r>
      <w:r w:rsidRPr="00CC0A82">
        <w:rPr>
          <w:rStyle w:val="apple-converted-space"/>
          <w:rFonts w:asciiTheme="minorHAnsi" w:hAnsiTheme="minorHAnsi" w:cstheme="minorHAnsi"/>
          <w:sz w:val="22"/>
          <w:szCs w:val="22"/>
        </w:rPr>
        <w:t> </w:t>
      </w:r>
      <w:hyperlink r:id="rId16" w:history="1">
        <w:r w:rsidRPr="00CC0A82">
          <w:rPr>
            <w:rStyle w:val="Hyperlink"/>
            <w:rFonts w:asciiTheme="minorHAnsi" w:hAnsiTheme="minorHAnsi" w:cstheme="minorHAnsi"/>
            <w:color w:val="auto"/>
            <w:sz w:val="22"/>
            <w:szCs w:val="22"/>
            <w:u w:val="none"/>
          </w:rPr>
          <w:t>10BA</w:t>
        </w:r>
      </w:hyperlink>
      <w:r w:rsidRPr="00CC0A82">
        <w:rPr>
          <w:rStyle w:val="apple-converted-space"/>
          <w:rFonts w:asciiTheme="minorHAnsi" w:hAnsiTheme="minorHAnsi" w:cstheme="minorHAnsi"/>
          <w:sz w:val="22"/>
          <w:szCs w:val="22"/>
        </w:rPr>
        <w:t> </w:t>
      </w:r>
      <w:r w:rsidRPr="00CC0A82">
        <w:rPr>
          <w:rFonts w:asciiTheme="minorHAnsi" w:hAnsiTheme="minorHAnsi" w:cstheme="minorHAnsi"/>
          <w:sz w:val="22"/>
          <w:szCs w:val="22"/>
        </w:rPr>
        <w:t>or deduction under any provisions of Chapter VIA under the heading</w:t>
      </w:r>
      <w:r w:rsidRPr="00CC0A82">
        <w:rPr>
          <w:rStyle w:val="apple-converted-space"/>
          <w:rFonts w:asciiTheme="minorHAnsi" w:hAnsiTheme="minorHAnsi" w:cstheme="minorHAnsi"/>
          <w:sz w:val="22"/>
          <w:szCs w:val="22"/>
        </w:rPr>
        <w:t> </w:t>
      </w:r>
      <w:r w:rsidRPr="00CC0A82">
        <w:rPr>
          <w:rFonts w:asciiTheme="minorHAnsi" w:hAnsiTheme="minorHAnsi" w:cstheme="minorHAnsi"/>
          <w:i/>
          <w:iCs/>
          <w:sz w:val="22"/>
          <w:szCs w:val="22"/>
        </w:rPr>
        <w:t>"C. - Deductions in respect of certain incomes"</w:t>
      </w:r>
      <w:r w:rsidRPr="00CC0A82">
        <w:rPr>
          <w:rStyle w:val="apple-converted-space"/>
          <w:rFonts w:asciiTheme="minorHAnsi" w:hAnsiTheme="minorHAnsi" w:cstheme="minorHAnsi"/>
          <w:sz w:val="22"/>
          <w:szCs w:val="22"/>
        </w:rPr>
        <w:t> </w:t>
      </w:r>
      <w:r w:rsidRPr="00CC0A82">
        <w:rPr>
          <w:rFonts w:asciiTheme="minorHAnsi" w:hAnsiTheme="minorHAnsi" w:cstheme="minorHAnsi"/>
          <w:sz w:val="22"/>
          <w:szCs w:val="22"/>
        </w:rPr>
        <w:t>in the relevant assessment year;</w:t>
      </w:r>
    </w:p>
    <w:p w:rsidR="00037FB6" w:rsidRPr="00CC0A82" w:rsidRDefault="00037FB6" w:rsidP="001063FF">
      <w:pPr>
        <w:pStyle w:val="indent1a"/>
        <w:shd w:val="clear" w:color="auto" w:fill="FFFFFF"/>
        <w:spacing w:before="0" w:beforeAutospacing="0" w:after="80" w:afterAutospacing="0" w:line="276" w:lineRule="auto"/>
        <w:ind w:left="794" w:hanging="397"/>
        <w:jc w:val="both"/>
        <w:rPr>
          <w:rFonts w:asciiTheme="minorHAnsi" w:hAnsiTheme="minorHAnsi" w:cstheme="minorHAnsi"/>
          <w:sz w:val="22"/>
          <w:szCs w:val="22"/>
        </w:rPr>
      </w:pPr>
      <w:r w:rsidRPr="00CC0A82">
        <w:rPr>
          <w:rFonts w:asciiTheme="minorHAnsi" w:hAnsiTheme="minorHAnsi" w:cstheme="minorHAnsi"/>
          <w:sz w:val="22"/>
          <w:szCs w:val="22"/>
        </w:rPr>
        <w:t>(</w:t>
      </w:r>
      <w:r w:rsidRPr="00CC0A82">
        <w:rPr>
          <w:rFonts w:asciiTheme="minorHAnsi" w:hAnsiTheme="minorHAnsi" w:cstheme="minorHAnsi"/>
          <w:i/>
          <w:iCs/>
          <w:sz w:val="22"/>
          <w:szCs w:val="22"/>
        </w:rPr>
        <w:t>b</w:t>
      </w:r>
      <w:r w:rsidRPr="00CC0A82">
        <w:rPr>
          <w:rFonts w:asciiTheme="minorHAnsi" w:hAnsiTheme="minorHAnsi" w:cstheme="minorHAnsi"/>
          <w:sz w:val="22"/>
          <w:szCs w:val="22"/>
        </w:rPr>
        <w:t>) "</w:t>
      </w:r>
      <w:proofErr w:type="gramStart"/>
      <w:r w:rsidRPr="00CC0A82">
        <w:rPr>
          <w:rFonts w:asciiTheme="minorHAnsi" w:hAnsiTheme="minorHAnsi" w:cstheme="minorHAnsi"/>
          <w:sz w:val="22"/>
          <w:szCs w:val="22"/>
        </w:rPr>
        <w:t>eligible</w:t>
      </w:r>
      <w:proofErr w:type="gramEnd"/>
      <w:r w:rsidRPr="00CC0A82">
        <w:rPr>
          <w:rFonts w:asciiTheme="minorHAnsi" w:hAnsiTheme="minorHAnsi" w:cstheme="minorHAnsi"/>
          <w:sz w:val="22"/>
          <w:szCs w:val="22"/>
        </w:rPr>
        <w:t xml:space="preserve"> business" means,—</w:t>
      </w:r>
    </w:p>
    <w:p w:rsidR="00037FB6" w:rsidRPr="00CC0A82" w:rsidRDefault="00037FB6" w:rsidP="001063FF">
      <w:pPr>
        <w:pStyle w:val="indent2"/>
        <w:shd w:val="clear" w:color="auto" w:fill="FFFFFF"/>
        <w:spacing w:before="0" w:beforeAutospacing="0" w:after="80" w:afterAutospacing="0" w:line="276" w:lineRule="auto"/>
        <w:ind w:left="1170" w:hanging="377"/>
        <w:jc w:val="both"/>
        <w:rPr>
          <w:rFonts w:asciiTheme="minorHAnsi" w:hAnsiTheme="minorHAnsi" w:cstheme="minorHAnsi"/>
          <w:sz w:val="22"/>
          <w:szCs w:val="22"/>
        </w:rPr>
      </w:pPr>
      <w:r w:rsidRPr="00CC0A82">
        <w:rPr>
          <w:rFonts w:asciiTheme="minorHAnsi" w:hAnsiTheme="minorHAnsi" w:cstheme="minorHAnsi"/>
          <w:sz w:val="22"/>
          <w:szCs w:val="22"/>
        </w:rPr>
        <w:t> (</w:t>
      </w:r>
      <w:proofErr w:type="spellStart"/>
      <w:r w:rsidRPr="00CC0A82">
        <w:rPr>
          <w:rFonts w:asciiTheme="minorHAnsi" w:hAnsiTheme="minorHAnsi" w:cstheme="minorHAnsi"/>
          <w:i/>
          <w:iCs/>
          <w:sz w:val="22"/>
          <w:szCs w:val="22"/>
        </w:rPr>
        <w:t>i</w:t>
      </w:r>
      <w:proofErr w:type="spellEnd"/>
      <w:r w:rsidRPr="00CC0A82">
        <w:rPr>
          <w:rFonts w:asciiTheme="minorHAnsi" w:hAnsiTheme="minorHAnsi" w:cstheme="minorHAnsi"/>
          <w:sz w:val="22"/>
          <w:szCs w:val="22"/>
        </w:rPr>
        <w:t>) any business except the business of plying, hiring or leasing goods carriages referred to in</w:t>
      </w:r>
      <w:r w:rsidRPr="00CC0A82">
        <w:rPr>
          <w:rStyle w:val="apple-converted-space"/>
          <w:rFonts w:asciiTheme="minorHAnsi" w:hAnsiTheme="minorHAnsi" w:cstheme="minorHAnsi"/>
          <w:sz w:val="22"/>
          <w:szCs w:val="22"/>
        </w:rPr>
        <w:t> </w:t>
      </w:r>
      <w:hyperlink r:id="rId17" w:history="1">
        <w:r w:rsidRPr="00CC0A82">
          <w:rPr>
            <w:rStyle w:val="Hyperlink"/>
            <w:rFonts w:asciiTheme="minorHAnsi" w:hAnsiTheme="minorHAnsi" w:cstheme="minorHAnsi"/>
            <w:color w:val="auto"/>
            <w:sz w:val="22"/>
            <w:szCs w:val="22"/>
            <w:u w:val="none"/>
          </w:rPr>
          <w:t>section 44AE</w:t>
        </w:r>
      </w:hyperlink>
      <w:r w:rsidRPr="00CC0A82">
        <w:rPr>
          <w:rFonts w:asciiTheme="minorHAnsi" w:hAnsiTheme="minorHAnsi" w:cstheme="minorHAnsi"/>
          <w:sz w:val="22"/>
          <w:szCs w:val="22"/>
        </w:rPr>
        <w:t>; and</w:t>
      </w:r>
    </w:p>
    <w:p w:rsidR="00037FB6" w:rsidRPr="00CC0A82" w:rsidRDefault="00037FB6" w:rsidP="001063FF">
      <w:pPr>
        <w:pStyle w:val="indent2"/>
        <w:shd w:val="clear" w:color="auto" w:fill="FFFFFF"/>
        <w:spacing w:before="0" w:beforeAutospacing="0" w:after="80" w:afterAutospacing="0" w:line="276" w:lineRule="auto"/>
        <w:ind w:left="1080" w:hanging="287"/>
        <w:jc w:val="both"/>
        <w:rPr>
          <w:rFonts w:asciiTheme="minorHAnsi" w:hAnsiTheme="minorHAnsi" w:cstheme="minorHAnsi"/>
          <w:sz w:val="22"/>
          <w:szCs w:val="22"/>
        </w:rPr>
      </w:pPr>
      <w:r w:rsidRPr="00CC0A82">
        <w:rPr>
          <w:rFonts w:asciiTheme="minorHAnsi" w:hAnsiTheme="minorHAnsi" w:cstheme="minorHAnsi"/>
          <w:sz w:val="22"/>
          <w:szCs w:val="22"/>
        </w:rPr>
        <w:t>(</w:t>
      </w:r>
      <w:r w:rsidRPr="00CC0A82">
        <w:rPr>
          <w:rFonts w:asciiTheme="minorHAnsi" w:hAnsiTheme="minorHAnsi" w:cstheme="minorHAnsi"/>
          <w:i/>
          <w:iCs/>
          <w:sz w:val="22"/>
          <w:szCs w:val="22"/>
        </w:rPr>
        <w:t>ii</w:t>
      </w:r>
      <w:r w:rsidRPr="00CC0A82">
        <w:rPr>
          <w:rFonts w:asciiTheme="minorHAnsi" w:hAnsiTheme="minorHAnsi" w:cstheme="minorHAnsi"/>
          <w:sz w:val="22"/>
          <w:szCs w:val="22"/>
        </w:rPr>
        <w:t xml:space="preserve">) </w:t>
      </w:r>
      <w:proofErr w:type="gramStart"/>
      <w:r w:rsidRPr="00CC0A82">
        <w:rPr>
          <w:rFonts w:asciiTheme="minorHAnsi" w:hAnsiTheme="minorHAnsi" w:cstheme="minorHAnsi"/>
          <w:sz w:val="22"/>
          <w:szCs w:val="22"/>
        </w:rPr>
        <w:t>whose</w:t>
      </w:r>
      <w:proofErr w:type="gramEnd"/>
      <w:r w:rsidRPr="00CC0A82">
        <w:rPr>
          <w:rFonts w:asciiTheme="minorHAnsi" w:hAnsiTheme="minorHAnsi" w:cstheme="minorHAnsi"/>
          <w:sz w:val="22"/>
          <w:szCs w:val="22"/>
        </w:rPr>
        <w:t xml:space="preserve"> total turnover or gross receipts in the previous ye</w:t>
      </w:r>
      <w:r w:rsidR="00B14E25" w:rsidRPr="00CC0A82">
        <w:rPr>
          <w:rFonts w:asciiTheme="minorHAnsi" w:hAnsiTheme="minorHAnsi" w:cstheme="minorHAnsi"/>
          <w:sz w:val="22"/>
          <w:szCs w:val="22"/>
        </w:rPr>
        <w:t xml:space="preserve">ar does not exceed an amount of </w:t>
      </w:r>
      <w:r w:rsidRPr="00CC0A82">
        <w:rPr>
          <w:rFonts w:asciiTheme="minorHAnsi" w:hAnsiTheme="minorHAnsi" w:cstheme="minorHAnsi"/>
          <w:sz w:val="22"/>
          <w:szCs w:val="22"/>
        </w:rPr>
        <w:t xml:space="preserve">one </w:t>
      </w:r>
      <w:proofErr w:type="spellStart"/>
      <w:r w:rsidRPr="00CC0A82">
        <w:rPr>
          <w:rFonts w:asciiTheme="minorHAnsi" w:hAnsiTheme="minorHAnsi" w:cstheme="minorHAnsi"/>
          <w:sz w:val="22"/>
          <w:szCs w:val="22"/>
        </w:rPr>
        <w:t>crore</w:t>
      </w:r>
      <w:proofErr w:type="spellEnd"/>
      <w:r w:rsidRPr="00CC0A82">
        <w:rPr>
          <w:rFonts w:asciiTheme="minorHAnsi" w:hAnsiTheme="minorHAnsi" w:cstheme="minorHAnsi"/>
          <w:sz w:val="22"/>
          <w:szCs w:val="22"/>
        </w:rPr>
        <w:t xml:space="preserve"> rupees.</w:t>
      </w:r>
    </w:p>
    <w:p w:rsidR="00B14E25" w:rsidRPr="00CC0A82" w:rsidRDefault="00B14E25" w:rsidP="001063FF">
      <w:pPr>
        <w:pStyle w:val="indent2"/>
        <w:shd w:val="clear" w:color="auto" w:fill="FFFFFF"/>
        <w:spacing w:before="0" w:beforeAutospacing="0" w:after="80" w:afterAutospacing="0" w:line="276" w:lineRule="auto"/>
        <w:ind w:left="1080" w:hanging="287"/>
        <w:jc w:val="both"/>
        <w:rPr>
          <w:rFonts w:asciiTheme="minorHAnsi" w:hAnsiTheme="minorHAnsi" w:cstheme="minorHAnsi"/>
          <w:sz w:val="22"/>
          <w:szCs w:val="22"/>
        </w:rPr>
      </w:pPr>
    </w:p>
    <w:p w:rsidR="00B14E25" w:rsidRPr="001063FF" w:rsidRDefault="00B14E25" w:rsidP="001063FF">
      <w:pPr>
        <w:pStyle w:val="indent2"/>
        <w:shd w:val="clear" w:color="auto" w:fill="FFFFFF"/>
        <w:spacing w:before="0" w:beforeAutospacing="0" w:after="80" w:afterAutospacing="0" w:line="276" w:lineRule="auto"/>
        <w:jc w:val="both"/>
        <w:rPr>
          <w:rFonts w:asciiTheme="minorHAnsi" w:hAnsiTheme="minorHAnsi" w:cstheme="minorHAnsi"/>
          <w:b/>
          <w:sz w:val="28"/>
          <w:szCs w:val="28"/>
          <w:u w:val="single"/>
        </w:rPr>
      </w:pPr>
      <w:r w:rsidRPr="001063FF">
        <w:rPr>
          <w:rFonts w:asciiTheme="minorHAnsi" w:hAnsiTheme="minorHAnsi" w:cstheme="minorHAnsi"/>
          <w:b/>
          <w:sz w:val="28"/>
          <w:szCs w:val="28"/>
          <w:u w:val="single"/>
        </w:rPr>
        <w:t>Analysis of Section 44AD</w:t>
      </w:r>
    </w:p>
    <w:p w:rsidR="00037FB6" w:rsidRPr="001063FF" w:rsidRDefault="00B14E25" w:rsidP="001063FF">
      <w:pPr>
        <w:rPr>
          <w:rFonts w:cstheme="minorHAnsi"/>
          <w:b/>
          <w:u w:val="single"/>
        </w:rPr>
      </w:pPr>
      <w:r w:rsidRPr="001063FF">
        <w:rPr>
          <w:rFonts w:cstheme="minorHAnsi"/>
          <w:b/>
          <w:u w:val="single"/>
        </w:rPr>
        <w:t>Applicability:</w:t>
      </w:r>
    </w:p>
    <w:p w:rsidR="00B14E25" w:rsidRPr="00D93F8C" w:rsidRDefault="00B14E25" w:rsidP="001063FF">
      <w:pPr>
        <w:spacing w:after="0"/>
        <w:rPr>
          <w:rFonts w:cstheme="minorHAnsi"/>
        </w:rPr>
      </w:pPr>
      <w:r w:rsidRPr="00D93F8C">
        <w:rPr>
          <w:rFonts w:cstheme="minorHAnsi"/>
        </w:rPr>
        <w:t>The scheme designed under Section 44AD is applicable to:</w:t>
      </w:r>
    </w:p>
    <w:p w:rsidR="00B14E25" w:rsidRPr="00CC0A82" w:rsidRDefault="00B14E25" w:rsidP="001063FF">
      <w:pPr>
        <w:pStyle w:val="ListParagraph"/>
        <w:numPr>
          <w:ilvl w:val="0"/>
          <w:numId w:val="1"/>
        </w:numPr>
        <w:rPr>
          <w:rFonts w:cstheme="minorHAnsi"/>
        </w:rPr>
      </w:pPr>
      <w:r w:rsidRPr="00CC0A82">
        <w:rPr>
          <w:rFonts w:cstheme="minorHAnsi"/>
        </w:rPr>
        <w:t>An Individual</w:t>
      </w:r>
    </w:p>
    <w:p w:rsidR="00B14E25" w:rsidRPr="00CC0A82" w:rsidRDefault="00B14E25" w:rsidP="001063FF">
      <w:pPr>
        <w:pStyle w:val="ListParagraph"/>
        <w:numPr>
          <w:ilvl w:val="0"/>
          <w:numId w:val="1"/>
        </w:numPr>
        <w:rPr>
          <w:rFonts w:cstheme="minorHAnsi"/>
        </w:rPr>
      </w:pPr>
      <w:r w:rsidRPr="00CC0A82">
        <w:rPr>
          <w:rFonts w:cstheme="minorHAnsi"/>
        </w:rPr>
        <w:t>A Hindu Undivided Family</w:t>
      </w:r>
    </w:p>
    <w:p w:rsidR="00E67C0D" w:rsidRDefault="00B14E25" w:rsidP="001063FF">
      <w:pPr>
        <w:pStyle w:val="ListParagraph"/>
        <w:numPr>
          <w:ilvl w:val="0"/>
          <w:numId w:val="1"/>
        </w:numPr>
        <w:rPr>
          <w:rFonts w:cstheme="minorHAnsi"/>
        </w:rPr>
      </w:pPr>
      <w:r w:rsidRPr="00CC0A82">
        <w:rPr>
          <w:rFonts w:cstheme="minorHAnsi"/>
        </w:rPr>
        <w:t>A Partnership Firm</w:t>
      </w:r>
    </w:p>
    <w:p w:rsidR="00CC0A82" w:rsidRPr="00CC0A82" w:rsidRDefault="00CC0A82" w:rsidP="001063FF">
      <w:pPr>
        <w:pStyle w:val="ListParagraph"/>
        <w:rPr>
          <w:rFonts w:cstheme="minorHAnsi"/>
        </w:rPr>
      </w:pPr>
      <w:r>
        <w:rPr>
          <w:rFonts w:cstheme="minorHAnsi"/>
        </w:rPr>
        <w:t>(</w:t>
      </w:r>
      <w:proofErr w:type="gramStart"/>
      <w:r>
        <w:rPr>
          <w:rFonts w:cstheme="minorHAnsi"/>
        </w:rPr>
        <w:t>and</w:t>
      </w:r>
      <w:proofErr w:type="gramEnd"/>
      <w:r>
        <w:rPr>
          <w:rFonts w:cstheme="minorHAnsi"/>
        </w:rPr>
        <w:t xml:space="preserve"> not to Limited Liability Partnership Firms and Companies)</w:t>
      </w:r>
    </w:p>
    <w:p w:rsidR="00B14E25" w:rsidRPr="00CC0A82" w:rsidRDefault="00B14E25" w:rsidP="001063FF">
      <w:pPr>
        <w:pStyle w:val="ListParagraph"/>
        <w:ind w:left="0"/>
        <w:rPr>
          <w:rFonts w:cstheme="minorHAnsi"/>
        </w:rPr>
      </w:pPr>
      <w:proofErr w:type="gramStart"/>
      <w:r w:rsidRPr="00CC0A82">
        <w:rPr>
          <w:rFonts w:cstheme="minorHAnsi"/>
        </w:rPr>
        <w:t>who</w:t>
      </w:r>
      <w:proofErr w:type="gramEnd"/>
      <w:r w:rsidRPr="00CC0A82">
        <w:rPr>
          <w:rFonts w:cstheme="minorHAnsi"/>
        </w:rPr>
        <w:t xml:space="preserve"> is not engaged in the</w:t>
      </w:r>
      <w:r w:rsidR="00E67C0D" w:rsidRPr="00CC0A82">
        <w:rPr>
          <w:rFonts w:cstheme="minorHAnsi"/>
        </w:rPr>
        <w:t xml:space="preserve"> </w:t>
      </w:r>
      <w:r w:rsidRPr="00CC0A82">
        <w:rPr>
          <w:rFonts w:cstheme="minorHAnsi"/>
        </w:rPr>
        <w:t>:</w:t>
      </w:r>
    </w:p>
    <w:p w:rsidR="00B14E25" w:rsidRPr="00CC0A82" w:rsidRDefault="00E67C0D" w:rsidP="001063FF">
      <w:pPr>
        <w:pStyle w:val="ListParagraph"/>
        <w:numPr>
          <w:ilvl w:val="0"/>
          <w:numId w:val="1"/>
        </w:numPr>
        <w:rPr>
          <w:rFonts w:cstheme="minorHAnsi"/>
        </w:rPr>
      </w:pPr>
      <w:r w:rsidRPr="00CC0A82">
        <w:rPr>
          <w:rFonts w:cstheme="minorHAnsi"/>
        </w:rPr>
        <w:t>Business of</w:t>
      </w:r>
      <w:r w:rsidR="00B14E25" w:rsidRPr="00CC0A82">
        <w:rPr>
          <w:rFonts w:cstheme="minorHAnsi"/>
        </w:rPr>
        <w:t xml:space="preserve"> plying, hiring or leasing goods carriages referred to in Section 44AE</w:t>
      </w:r>
    </w:p>
    <w:p w:rsidR="00B14E25" w:rsidRPr="00CC0A82" w:rsidRDefault="00E67C0D" w:rsidP="001063FF">
      <w:pPr>
        <w:pStyle w:val="ListParagraph"/>
        <w:numPr>
          <w:ilvl w:val="0"/>
          <w:numId w:val="1"/>
        </w:numPr>
        <w:rPr>
          <w:rFonts w:cstheme="minorHAnsi"/>
        </w:rPr>
      </w:pPr>
      <w:r w:rsidRPr="00CC0A82">
        <w:rPr>
          <w:rFonts w:cstheme="minorHAnsi"/>
        </w:rPr>
        <w:t xml:space="preserve">Profession mentioned in Section 44AA i.e. legal, medical, engineering or architectural profession or the profession of accountancy or technical consultancy or interior decoration or any other profession as is notified by the Board in the Official Gazette </w:t>
      </w:r>
    </w:p>
    <w:p w:rsidR="00E67C0D" w:rsidRPr="00CC0A82" w:rsidRDefault="00E67C0D" w:rsidP="001063FF">
      <w:pPr>
        <w:pStyle w:val="ListParagraph"/>
        <w:numPr>
          <w:ilvl w:val="0"/>
          <w:numId w:val="1"/>
        </w:numPr>
        <w:rPr>
          <w:rFonts w:cstheme="minorHAnsi"/>
        </w:rPr>
      </w:pPr>
      <w:r w:rsidRPr="00CC0A82">
        <w:rPr>
          <w:rFonts w:cstheme="minorHAnsi"/>
        </w:rPr>
        <w:t>Agency business</w:t>
      </w:r>
    </w:p>
    <w:p w:rsidR="00E67C0D" w:rsidRPr="00D93F8C" w:rsidRDefault="00E67C0D" w:rsidP="001063FF">
      <w:pPr>
        <w:pStyle w:val="ListParagraph"/>
        <w:numPr>
          <w:ilvl w:val="0"/>
          <w:numId w:val="1"/>
        </w:numPr>
        <w:rPr>
          <w:rFonts w:cstheme="minorHAnsi"/>
        </w:rPr>
      </w:pPr>
      <w:r w:rsidRPr="00CC0A82">
        <w:rPr>
          <w:rFonts w:cstheme="minorHAnsi"/>
        </w:rPr>
        <w:t>Business where the income is in the nature of Commission and Brokerage</w:t>
      </w:r>
    </w:p>
    <w:p w:rsidR="00E67C0D" w:rsidRDefault="00E67C0D" w:rsidP="001063FF">
      <w:pPr>
        <w:pStyle w:val="ListParagraph"/>
        <w:spacing w:after="0"/>
        <w:ind w:left="0"/>
        <w:rPr>
          <w:rFonts w:cstheme="minorHAnsi"/>
        </w:rPr>
      </w:pPr>
      <w:proofErr w:type="gramStart"/>
      <w:r w:rsidRPr="00CC0A82">
        <w:rPr>
          <w:rFonts w:cstheme="minorHAnsi"/>
        </w:rPr>
        <w:t>and</w:t>
      </w:r>
      <w:proofErr w:type="gramEnd"/>
      <w:r w:rsidRPr="00CC0A82">
        <w:rPr>
          <w:rFonts w:cstheme="minorHAnsi"/>
        </w:rPr>
        <w:t xml:space="preserve"> whose turnover does not exceed One </w:t>
      </w:r>
      <w:proofErr w:type="spellStart"/>
      <w:r w:rsidRPr="00CC0A82">
        <w:rPr>
          <w:rFonts w:cstheme="minorHAnsi"/>
        </w:rPr>
        <w:t>Crore</w:t>
      </w:r>
      <w:proofErr w:type="spellEnd"/>
      <w:r w:rsidRPr="00CC0A82">
        <w:rPr>
          <w:rFonts w:cstheme="minorHAnsi"/>
        </w:rPr>
        <w:t xml:space="preserve"> Rupees</w:t>
      </w:r>
      <w:r w:rsidR="00CC0A82">
        <w:rPr>
          <w:rFonts w:cstheme="minorHAnsi"/>
        </w:rPr>
        <w:t>.</w:t>
      </w:r>
    </w:p>
    <w:p w:rsidR="00CC0A82" w:rsidRDefault="00CC0A82" w:rsidP="001063FF">
      <w:pPr>
        <w:pStyle w:val="ListParagraph"/>
        <w:spacing w:after="0"/>
        <w:ind w:left="0"/>
        <w:rPr>
          <w:rFonts w:cstheme="minorHAnsi"/>
        </w:rPr>
      </w:pPr>
    </w:p>
    <w:p w:rsidR="00037FB6" w:rsidRDefault="00CC0A82" w:rsidP="001063FF">
      <w:pPr>
        <w:pStyle w:val="ListParagraph"/>
        <w:ind w:left="0"/>
        <w:rPr>
          <w:rFonts w:cstheme="minorHAnsi"/>
        </w:rPr>
      </w:pPr>
      <w:r>
        <w:rPr>
          <w:rFonts w:cstheme="minorHAnsi"/>
        </w:rPr>
        <w:t>Also, if the total income of the assessee falls below the maximum exemption limit, provisions of Section 44AD does not apply.</w:t>
      </w:r>
    </w:p>
    <w:p w:rsidR="00CC0A82" w:rsidRDefault="00CC0A82" w:rsidP="001063FF">
      <w:pPr>
        <w:pStyle w:val="ListParagraph"/>
        <w:ind w:left="0"/>
        <w:rPr>
          <w:rFonts w:cstheme="minorHAnsi"/>
        </w:rPr>
      </w:pPr>
    </w:p>
    <w:p w:rsidR="00D11A78" w:rsidRPr="001063FF" w:rsidRDefault="00D11A78" w:rsidP="001063FF">
      <w:pPr>
        <w:pStyle w:val="ListParagraph"/>
        <w:ind w:left="0"/>
        <w:rPr>
          <w:rFonts w:cstheme="minorHAnsi"/>
          <w:b/>
        </w:rPr>
      </w:pPr>
      <w:r w:rsidRPr="001063FF">
        <w:rPr>
          <w:rFonts w:cstheme="minorHAnsi"/>
          <w:b/>
          <w:u w:val="single"/>
        </w:rPr>
        <w:t>Scheme of Computation of Income</w:t>
      </w:r>
      <w:r w:rsidRPr="001063FF">
        <w:rPr>
          <w:rFonts w:cstheme="minorHAnsi"/>
          <w:b/>
        </w:rPr>
        <w:t>:</w:t>
      </w:r>
    </w:p>
    <w:p w:rsidR="00D11A78" w:rsidRDefault="00D11A78" w:rsidP="001063FF">
      <w:pPr>
        <w:pStyle w:val="ListParagraph"/>
        <w:ind w:left="0"/>
      </w:pPr>
      <w:r>
        <w:t>In case of an assessee who is willing to opt for these provisions, income will be computed on an estimated basis. The rate of computation of income on an estimated basis is 8% of turnover or gross receipts of the eligible business for the previous year.</w:t>
      </w:r>
    </w:p>
    <w:p w:rsidR="00D11A78" w:rsidRPr="001063FF" w:rsidRDefault="00D11A78" w:rsidP="001063FF">
      <w:pPr>
        <w:rPr>
          <w:rFonts w:cstheme="minorHAnsi"/>
          <w:b/>
          <w:u w:val="single"/>
        </w:rPr>
      </w:pPr>
      <w:r w:rsidRPr="001063FF">
        <w:rPr>
          <w:rFonts w:cstheme="minorHAnsi"/>
          <w:b/>
          <w:u w:val="single"/>
        </w:rPr>
        <w:t>Further Allowance/ Disallowance of Expenses:</w:t>
      </w:r>
    </w:p>
    <w:p w:rsidR="007B6193" w:rsidRDefault="00D11A78" w:rsidP="001063FF">
      <w:r>
        <w:t xml:space="preserve">Income computed as per section 44AD (i.e., @ 8% of turnover or gross receipts of the eligible business, for the previous year) will be net income for the business covered under this scheme. </w:t>
      </w:r>
    </w:p>
    <w:p w:rsidR="00D11A78" w:rsidRDefault="00D11A78" w:rsidP="001063FF">
      <w:r>
        <w:lastRenderedPageBreak/>
        <w:t>From the net income computed as above, an assessee is not permitted to claim any deduction under sections 30 to 38 (including depreciation or unabsorbed depreciation).</w:t>
      </w:r>
    </w:p>
    <w:p w:rsidR="007B6193" w:rsidRDefault="007B6193" w:rsidP="001063FF">
      <w:r>
        <w:t xml:space="preserve">However, in case of </w:t>
      </w:r>
      <w:r w:rsidRPr="007B6193">
        <w:rPr>
          <w:b/>
        </w:rPr>
        <w:t>a partnership firm</w:t>
      </w:r>
      <w:r>
        <w:t>, separate deduction from the net income computed as per presumptive taxation scheme in respect of remuneration and interest paid to its partners is allowed.</w:t>
      </w:r>
    </w:p>
    <w:p w:rsidR="007B6193" w:rsidRPr="001063FF" w:rsidRDefault="007B6193" w:rsidP="001063FF">
      <w:pPr>
        <w:rPr>
          <w:b/>
          <w:u w:val="single"/>
        </w:rPr>
      </w:pPr>
      <w:r w:rsidRPr="001063FF">
        <w:rPr>
          <w:b/>
          <w:u w:val="single"/>
        </w:rPr>
        <w:t>Provisions relating to maintenance of books of account</w:t>
      </w:r>
      <w:r w:rsidRPr="001063FF">
        <w:rPr>
          <w:b/>
        </w:rPr>
        <w:t>:</w:t>
      </w:r>
    </w:p>
    <w:p w:rsidR="007B6193" w:rsidRDefault="007B6193" w:rsidP="001063FF">
      <w:r>
        <w:t xml:space="preserve">The scheme gives a great relief to the assessee in respect of maintenance of books of account. An assessee, who adopts the provisions of section 44AD, is not required to maintain books of account as per section 44AA (applicable only for business covered by this section). Further, in respect of such business, the provisions of section 44AB (relating to audit) are also not applicable. </w:t>
      </w:r>
    </w:p>
    <w:p w:rsidR="007B6193" w:rsidRDefault="007B6193" w:rsidP="001063FF">
      <w:r>
        <w:t>Thus, the scheme relieves the assessee from the maintenance of regular books of account. Apart from giving relief from maintenance of books of account, the scheme also relieves the assessee from audit of books of account.</w:t>
      </w:r>
    </w:p>
    <w:p w:rsidR="007B6193" w:rsidRPr="001063FF" w:rsidRDefault="007B6193" w:rsidP="001063FF">
      <w:pPr>
        <w:rPr>
          <w:b/>
          <w:u w:val="single"/>
        </w:rPr>
      </w:pPr>
      <w:r w:rsidRPr="001063FF">
        <w:rPr>
          <w:b/>
          <w:u w:val="single"/>
        </w:rPr>
        <w:t xml:space="preserve">Declaration of </w:t>
      </w:r>
      <w:r w:rsidR="00B07678" w:rsidRPr="001063FF">
        <w:rPr>
          <w:b/>
          <w:u w:val="single"/>
        </w:rPr>
        <w:t>Lower Income</w:t>
      </w:r>
      <w:r w:rsidR="001063FF" w:rsidRPr="001063FF">
        <w:rPr>
          <w:b/>
        </w:rPr>
        <w:t>:</w:t>
      </w:r>
      <w:r w:rsidR="00B07678" w:rsidRPr="001063FF">
        <w:rPr>
          <w:b/>
          <w:u w:val="single"/>
        </w:rPr>
        <w:t xml:space="preserve"> </w:t>
      </w:r>
    </w:p>
    <w:p w:rsidR="007B6193" w:rsidRDefault="00B07678" w:rsidP="001063FF">
      <w:r>
        <w:t xml:space="preserve">If the assessee declares its business income lower than the prescribed limit of 8% and his total taxable income exceeds the maximum exemption limit, the benefits are no longer available. The assessee shall be required to maintain books as prescribed under section 44AA and also will have to get them audited under section 44AB. </w:t>
      </w:r>
    </w:p>
    <w:p w:rsidR="00B07678" w:rsidRPr="001063FF" w:rsidRDefault="001063FF" w:rsidP="001063FF">
      <w:pPr>
        <w:rPr>
          <w:b/>
          <w:u w:val="single"/>
        </w:rPr>
      </w:pPr>
      <w:r w:rsidRPr="001063FF">
        <w:rPr>
          <w:b/>
          <w:u w:val="single"/>
        </w:rPr>
        <w:t>Declaration of Higher Income</w:t>
      </w:r>
      <w:r w:rsidRPr="001063FF">
        <w:rPr>
          <w:b/>
        </w:rPr>
        <w:t>:</w:t>
      </w:r>
    </w:p>
    <w:p w:rsidR="00B07678" w:rsidRDefault="00B07678" w:rsidP="001063FF">
      <w:r>
        <w:t>As regards the declaration of higher income, i.e., declaring income above the prescribed rate of 8%, the scheme permits the assessee to declare at his option higher income (i.e., higher than 8%).</w:t>
      </w:r>
    </w:p>
    <w:p w:rsidR="00B07678" w:rsidRPr="001063FF" w:rsidRDefault="00B07678" w:rsidP="001063FF">
      <w:pPr>
        <w:rPr>
          <w:b/>
        </w:rPr>
      </w:pPr>
      <w:r w:rsidRPr="001063FF">
        <w:rPr>
          <w:b/>
          <w:u w:val="single"/>
        </w:rPr>
        <w:t>Applicability of Advance Tax</w:t>
      </w:r>
      <w:r w:rsidRPr="001063FF">
        <w:rPr>
          <w:b/>
        </w:rPr>
        <w:t>:</w:t>
      </w:r>
    </w:p>
    <w:p w:rsidR="00B07678" w:rsidRPr="00B07678" w:rsidRDefault="00B07678" w:rsidP="001063FF">
      <w:r>
        <w:t>A person adopting the Presumptive Taxation Scheme u/s 44AD is not liable to pay advance tax in respect of the business covered under section 44AD.</w:t>
      </w:r>
    </w:p>
    <w:p w:rsidR="00B07678" w:rsidRDefault="00B07678" w:rsidP="001063FF">
      <w:r>
        <w:t xml:space="preserve">It is to be noted that the assessee whose total turnover crosses One </w:t>
      </w:r>
      <w:proofErr w:type="spellStart"/>
      <w:r>
        <w:t>Crore</w:t>
      </w:r>
      <w:proofErr w:type="spellEnd"/>
      <w:r>
        <w:t xml:space="preserve"> Rupees (or Sixty </w:t>
      </w:r>
      <w:proofErr w:type="spellStart"/>
      <w:r>
        <w:t>Lakh</w:t>
      </w:r>
      <w:proofErr w:type="spellEnd"/>
      <w:r>
        <w:t xml:space="preserve"> Rupees in case of professionals) mandatorily needs to comply with the provisions of Section 44AA and 44AB.</w:t>
      </w:r>
    </w:p>
    <w:p w:rsidR="001063FF" w:rsidRDefault="001063FF" w:rsidP="001063FF">
      <w:pPr>
        <w:tabs>
          <w:tab w:val="left" w:pos="6361"/>
        </w:tabs>
        <w:spacing w:after="0"/>
        <w:jc w:val="both"/>
      </w:pPr>
      <w:r>
        <w:t xml:space="preserve">You can get in touch with us for all your queries and concerns in relation to above at </w:t>
      </w:r>
      <w:hyperlink r:id="rId18" w:history="1">
        <w:r>
          <w:rPr>
            <w:rStyle w:val="Hyperlink"/>
          </w:rPr>
          <w:t>info@dcstax.in</w:t>
        </w:r>
      </w:hyperlink>
      <w:r>
        <w:t xml:space="preserve"> or visit us at </w:t>
      </w:r>
      <w:hyperlink r:id="rId19" w:history="1">
        <w:r w:rsidRPr="001B5043">
          <w:rPr>
            <w:rStyle w:val="Hyperlink"/>
          </w:rPr>
          <w:t>www.dc</w:t>
        </w:r>
        <w:r w:rsidRPr="001B5043">
          <w:rPr>
            <w:rStyle w:val="Hyperlink"/>
          </w:rPr>
          <w:t>s</w:t>
        </w:r>
        <w:r w:rsidRPr="001B5043">
          <w:rPr>
            <w:rStyle w:val="Hyperlink"/>
          </w:rPr>
          <w:t>tax.in</w:t>
        </w:r>
      </w:hyperlink>
    </w:p>
    <w:p w:rsidR="001063FF" w:rsidRDefault="001063FF" w:rsidP="001063FF">
      <w:pPr>
        <w:tabs>
          <w:tab w:val="left" w:pos="6361"/>
        </w:tabs>
        <w:spacing w:after="0"/>
        <w:jc w:val="both"/>
      </w:pPr>
    </w:p>
    <w:p w:rsidR="001063FF" w:rsidRDefault="001063FF" w:rsidP="001063FF">
      <w:pPr>
        <w:tabs>
          <w:tab w:val="left" w:pos="6361"/>
        </w:tabs>
        <w:spacing w:after="0"/>
        <w:jc w:val="both"/>
      </w:pPr>
      <w:r>
        <w:rPr>
          <w:rFonts w:ascii="Arial" w:eastAsia="Times New Roman" w:hAnsi="Arial" w:cs="Arial"/>
          <w:noProof/>
          <w:color w:val="222222"/>
          <w:sz w:val="16"/>
          <w:szCs w:val="16"/>
        </w:rPr>
        <w:drawing>
          <wp:inline distT="0" distB="0" distL="0" distR="0">
            <wp:extent cx="1199056" cy="826935"/>
            <wp:effectExtent l="19050" t="0" r="1094"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0"/>
                    <a:stretch>
                      <a:fillRect/>
                    </a:stretch>
                  </pic:blipFill>
                  <pic:spPr>
                    <a:xfrm>
                      <a:off x="0" y="0"/>
                      <a:ext cx="1198338" cy="826440"/>
                    </a:xfrm>
                    <a:prstGeom prst="rect">
                      <a:avLst/>
                    </a:prstGeom>
                  </pic:spPr>
                </pic:pic>
              </a:graphicData>
            </a:graphic>
          </wp:inline>
        </w:drawing>
      </w:r>
    </w:p>
    <w:p w:rsidR="001063FF" w:rsidRDefault="001063FF" w:rsidP="001063FF">
      <w:pPr>
        <w:tabs>
          <w:tab w:val="left" w:pos="6361"/>
        </w:tabs>
        <w:spacing w:after="0"/>
        <w:jc w:val="both"/>
      </w:pPr>
      <w:r w:rsidRPr="00C91E38">
        <w:rPr>
          <w:rFonts w:ascii="Arial Black" w:eastAsia="Times New Roman" w:hAnsi="Arial Black" w:cs="Calibri"/>
          <w:b/>
          <w:bCs/>
          <w:color w:val="00B0F0"/>
          <w:sz w:val="24"/>
          <w:szCs w:val="24"/>
        </w:rPr>
        <w:t>Dudhoria Consultancy Services Pvt. Ltd.</w:t>
      </w:r>
    </w:p>
    <w:p w:rsidR="001063FF" w:rsidRPr="00C91E38" w:rsidRDefault="001063FF" w:rsidP="001063FF">
      <w:pPr>
        <w:shd w:val="clear" w:color="auto" w:fill="FFFFFF"/>
        <w:spacing w:after="0"/>
        <w:rPr>
          <w:rFonts w:ascii="Arial Black" w:eastAsia="Times New Roman" w:hAnsi="Arial Black" w:cs="Calibri"/>
          <w:color w:val="00B0F0"/>
          <w:sz w:val="15"/>
          <w:szCs w:val="15"/>
        </w:rPr>
      </w:pPr>
      <w:r w:rsidRPr="00C91E38">
        <w:rPr>
          <w:rFonts w:ascii="Arial Black" w:eastAsia="Times New Roman" w:hAnsi="Arial Black" w:cs="Calibri"/>
          <w:color w:val="00B0F0"/>
          <w:sz w:val="15"/>
          <w:szCs w:val="15"/>
        </w:rPr>
        <w:t>56, Netaji Subhas Road, 4th Floor, Kolkata – 700001</w:t>
      </w:r>
    </w:p>
    <w:p w:rsidR="001063FF" w:rsidRPr="005314DA" w:rsidRDefault="001063FF" w:rsidP="001063FF">
      <w:pPr>
        <w:spacing w:after="0"/>
      </w:pPr>
      <w:r w:rsidRPr="00C91E38">
        <w:rPr>
          <w:rFonts w:ascii="Arial Black" w:eastAsia="Times New Roman" w:hAnsi="Arial Black" w:cs="Calibri"/>
          <w:color w:val="00B0F0"/>
          <w:sz w:val="15"/>
          <w:szCs w:val="15"/>
        </w:rPr>
        <w:t xml:space="preserve">E-mail us @ </w:t>
      </w:r>
      <w:hyperlink r:id="rId21" w:history="1">
        <w:r w:rsidRPr="00C91E38">
          <w:rPr>
            <w:rStyle w:val="Hyperlink"/>
            <w:rFonts w:ascii="Arial Black" w:eastAsia="Times New Roman" w:hAnsi="Arial Black" w:cs="Calibri"/>
            <w:color w:val="00B0F0"/>
            <w:sz w:val="15"/>
            <w:szCs w:val="15"/>
          </w:rPr>
          <w:t>info@dcstax.in</w:t>
        </w:r>
      </w:hyperlink>
      <w:r w:rsidRPr="00C91E38">
        <w:rPr>
          <w:rFonts w:ascii="Arial Black" w:eastAsia="Times New Roman" w:hAnsi="Arial Black" w:cs="Calibri"/>
          <w:color w:val="00B0F0"/>
          <w:sz w:val="15"/>
          <w:szCs w:val="15"/>
        </w:rPr>
        <w:t xml:space="preserve"> / </w:t>
      </w:r>
      <w:hyperlink r:id="rId22" w:history="1">
        <w:r w:rsidRPr="00C91E38">
          <w:rPr>
            <w:rStyle w:val="Hyperlink"/>
            <w:rFonts w:ascii="Arial Black" w:eastAsia="Times New Roman" w:hAnsi="Arial Black" w:cs="Calibri"/>
            <w:color w:val="00B0F0"/>
            <w:sz w:val="15"/>
            <w:szCs w:val="15"/>
          </w:rPr>
          <w:t>taxdcs@gmail.com</w:t>
        </w:r>
      </w:hyperlink>
    </w:p>
    <w:sectPr w:rsidR="001063FF" w:rsidRPr="005314DA" w:rsidSect="001063FF">
      <w:pgSz w:w="12240" w:h="15840"/>
      <w:pgMar w:top="117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E7288"/>
    <w:multiLevelType w:val="hybridMultilevel"/>
    <w:tmpl w:val="34F621E8"/>
    <w:lvl w:ilvl="0" w:tplc="D63C4DAE">
      <w:start w:val="2"/>
      <w:numFmt w:val="bullet"/>
      <w:lvlText w:val=""/>
      <w:lvlJc w:val="left"/>
      <w:pPr>
        <w:ind w:left="720" w:hanging="36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C071B3"/>
    <w:rsid w:val="00037FB6"/>
    <w:rsid w:val="001063FF"/>
    <w:rsid w:val="00314F7C"/>
    <w:rsid w:val="00481BD6"/>
    <w:rsid w:val="004D5870"/>
    <w:rsid w:val="007B6193"/>
    <w:rsid w:val="0086138E"/>
    <w:rsid w:val="00B07678"/>
    <w:rsid w:val="00B14E25"/>
    <w:rsid w:val="00C071B3"/>
    <w:rsid w:val="00CC0A82"/>
    <w:rsid w:val="00D11A78"/>
    <w:rsid w:val="00D93F8C"/>
    <w:rsid w:val="00E67C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
    <w:name w:val="tx"/>
    <w:basedOn w:val="Normal"/>
    <w:rsid w:val="00037F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7FB6"/>
  </w:style>
  <w:style w:type="character" w:styleId="Hyperlink">
    <w:name w:val="Hyperlink"/>
    <w:basedOn w:val="DefaultParagraphFont"/>
    <w:uiPriority w:val="99"/>
    <w:semiHidden/>
    <w:unhideWhenUsed/>
    <w:rsid w:val="00037FB6"/>
    <w:rPr>
      <w:color w:val="0000FF"/>
      <w:u w:val="single"/>
    </w:rPr>
  </w:style>
  <w:style w:type="paragraph" w:customStyle="1" w:styleId="indent1a">
    <w:name w:val="indent1a"/>
    <w:basedOn w:val="Normal"/>
    <w:rsid w:val="00037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037F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4E25"/>
    <w:pPr>
      <w:ind w:left="720"/>
      <w:contextualSpacing/>
    </w:pPr>
  </w:style>
  <w:style w:type="paragraph" w:styleId="BalloonText">
    <w:name w:val="Balloon Text"/>
    <w:basedOn w:val="Normal"/>
    <w:link w:val="BalloonTextChar"/>
    <w:uiPriority w:val="99"/>
    <w:semiHidden/>
    <w:unhideWhenUsed/>
    <w:rsid w:val="00106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3FF"/>
    <w:rPr>
      <w:rFonts w:ascii="Tahoma" w:hAnsi="Tahoma" w:cs="Tahoma"/>
      <w:sz w:val="16"/>
      <w:szCs w:val="16"/>
    </w:rPr>
  </w:style>
  <w:style w:type="character" w:styleId="FollowedHyperlink">
    <w:name w:val="FollowedHyperlink"/>
    <w:basedOn w:val="DefaultParagraphFont"/>
    <w:uiPriority w:val="99"/>
    <w:semiHidden/>
    <w:unhideWhenUsed/>
    <w:rsid w:val="001063F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8742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ShowMainContent('Act',%20'CMSID',%20'102120000000041594',%20'');" TargetMode="External"/><Relationship Id="rId13" Type="http://schemas.openxmlformats.org/officeDocument/2006/relationships/hyperlink" Target="javascript:ShowMainContent('Act',%20'CMSID',%20'102120000000040934',%20'');" TargetMode="External"/><Relationship Id="rId18" Type="http://schemas.openxmlformats.org/officeDocument/2006/relationships/hyperlink" Target="http://www.dcstax.in" TargetMode="External"/><Relationship Id="rId3" Type="http://schemas.openxmlformats.org/officeDocument/2006/relationships/settings" Target="settings.xml"/><Relationship Id="rId21" Type="http://schemas.openxmlformats.org/officeDocument/2006/relationships/hyperlink" Target="mailto:info@dcstax.in" TargetMode="External"/><Relationship Id="rId7" Type="http://schemas.openxmlformats.org/officeDocument/2006/relationships/hyperlink" Target="javascript:ShowMainContent('Act',%20'CMSID',%20'102120000000041572',%20'');" TargetMode="External"/><Relationship Id="rId12" Type="http://schemas.openxmlformats.org/officeDocument/2006/relationships/hyperlink" Target="javascript:ShowMainContent('Act',%20'CMSID',%20'102120000000041398',%20'');" TargetMode="External"/><Relationship Id="rId17" Type="http://schemas.openxmlformats.org/officeDocument/2006/relationships/hyperlink" Target="javascript:ShowMainContent('Act',%20'CMSID',%20'102120000000041606',%20'');" TargetMode="External"/><Relationship Id="rId2" Type="http://schemas.openxmlformats.org/officeDocument/2006/relationships/styles" Target="styles.xml"/><Relationship Id="rId16" Type="http://schemas.openxmlformats.org/officeDocument/2006/relationships/hyperlink" Target="javascript:ShowMainContent('Act',%20'CMSID',%20'102120000000040937',%20'');"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javascript:ShowMainContent('Act',%20'CMSID',%20'102120000000041605',%20'');" TargetMode="External"/><Relationship Id="rId11" Type="http://schemas.openxmlformats.org/officeDocument/2006/relationships/hyperlink" Target="javascript:ShowMainContent('Act',%20'CMSID',%20'102120000000041399',%20'');" TargetMode="External"/><Relationship Id="rId24" Type="http://schemas.openxmlformats.org/officeDocument/2006/relationships/theme" Target="theme/theme1.xml"/><Relationship Id="rId5" Type="http://schemas.openxmlformats.org/officeDocument/2006/relationships/hyperlink" Target="javascript:ShowMainContent('Act',%20'CMSID',%20'102120000000041571',%20'');" TargetMode="External"/><Relationship Id="rId15" Type="http://schemas.openxmlformats.org/officeDocument/2006/relationships/hyperlink" Target="javascript:ShowMainContent('Act',%20'CMSID',%20'102120000000040936',%20'');" TargetMode="External"/><Relationship Id="rId23" Type="http://schemas.openxmlformats.org/officeDocument/2006/relationships/fontTable" Target="fontTable.xml"/><Relationship Id="rId10" Type="http://schemas.openxmlformats.org/officeDocument/2006/relationships/hyperlink" Target="javascript:ShowMainContent('Act',%20'CMSID',%20'102120000000041398',%20'');" TargetMode="External"/><Relationship Id="rId19" Type="http://schemas.openxmlformats.org/officeDocument/2006/relationships/hyperlink" Target="http://www.dcstax.in" TargetMode="External"/><Relationship Id="rId4" Type="http://schemas.openxmlformats.org/officeDocument/2006/relationships/webSettings" Target="webSettings.xml"/><Relationship Id="rId9" Type="http://schemas.openxmlformats.org/officeDocument/2006/relationships/hyperlink" Target="javascript:ShowMainContent('Act',%20'CMSID',%20'102120000000041634',%20'');" TargetMode="External"/><Relationship Id="rId14" Type="http://schemas.openxmlformats.org/officeDocument/2006/relationships/hyperlink" Target="javascript:ShowMainContent('Act',%20'CMSID',%20'102120000000040935',%20'');" TargetMode="External"/><Relationship Id="rId22" Type="http://schemas.openxmlformats.org/officeDocument/2006/relationships/hyperlink" Target="mailto:taxdc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DCS</dc:creator>
  <cp:lastModifiedBy>DCS</cp:lastModifiedBy>
  <cp:revision>3</cp:revision>
  <dcterms:created xsi:type="dcterms:W3CDTF">2015-10-07T22:40:00Z</dcterms:created>
  <dcterms:modified xsi:type="dcterms:W3CDTF">2015-10-07T22:47:00Z</dcterms:modified>
</cp:coreProperties>
</file>